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CC70" w14:textId="15364E00" w:rsidR="00A62FAE" w:rsidRPr="0092185E" w:rsidRDefault="00217389" w:rsidP="00A3797A">
      <w:pPr>
        <w:pStyle w:val="Heading1"/>
        <w:rPr>
          <w:rFonts w:ascii="Georgia" w:hAnsi="Georgia"/>
          <w:color w:val="04617B" w:themeColor="text2"/>
          <w:sz w:val="36"/>
          <w:szCs w:val="36"/>
        </w:rPr>
      </w:pPr>
      <w:r w:rsidRPr="0092185E">
        <w:rPr>
          <w:rFonts w:ascii="Georgia" w:hAnsi="Georgia"/>
          <w:color w:val="04617B" w:themeColor="text2"/>
          <w:sz w:val="36"/>
          <w:szCs w:val="36"/>
        </w:rPr>
        <w:t xml:space="preserve">Changes to </w:t>
      </w:r>
      <w:r w:rsidR="00071277">
        <w:rPr>
          <w:rFonts w:ascii="Georgia" w:hAnsi="Georgia"/>
          <w:color w:val="04617B" w:themeColor="text2"/>
          <w:sz w:val="36"/>
          <w:szCs w:val="36"/>
        </w:rPr>
        <w:t xml:space="preserve">Data Exchange (DEX) </w:t>
      </w:r>
      <w:r w:rsidRPr="0092185E">
        <w:rPr>
          <w:rFonts w:ascii="Georgia" w:hAnsi="Georgia"/>
          <w:color w:val="04617B" w:themeColor="text2"/>
          <w:sz w:val="36"/>
          <w:szCs w:val="36"/>
        </w:rPr>
        <w:t>reporting requirements for Department of Social Services programs – Frequently Asked Questions</w:t>
      </w:r>
    </w:p>
    <w:p w14:paraId="046F23E0" w14:textId="2BB1F874" w:rsidR="00FD0A03" w:rsidRDefault="00530D74" w:rsidP="0021738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="00FD0A03">
        <w:rPr>
          <w:rFonts w:ascii="Arial" w:hAnsi="Arial" w:cs="Arial"/>
          <w:b/>
          <w:bCs/>
          <w:sz w:val="28"/>
          <w:szCs w:val="28"/>
        </w:rPr>
        <w:t>December 2025)</w:t>
      </w:r>
    </w:p>
    <w:p w14:paraId="1900FB4D" w14:textId="252D1574" w:rsidR="0092185E" w:rsidRDefault="0092185E" w:rsidP="00217389">
      <w:pPr>
        <w:rPr>
          <w:rFonts w:ascii="Arial" w:hAnsi="Arial" w:cs="Arial"/>
          <w:b/>
          <w:bCs/>
          <w:sz w:val="28"/>
          <w:szCs w:val="28"/>
        </w:rPr>
      </w:pPr>
    </w:p>
    <w:p w14:paraId="7EB30C8A" w14:textId="77777777" w:rsidR="00B6654B" w:rsidRPr="0092185E" w:rsidRDefault="00B6654B" w:rsidP="00EC1808">
      <w:pPr>
        <w:pStyle w:val="Heading2"/>
      </w:pPr>
      <w:r w:rsidRPr="0092185E">
        <w:t>What is changing?</w:t>
      </w:r>
    </w:p>
    <w:p w14:paraId="3C956A9F" w14:textId="1DF6F91C" w:rsidR="00217389" w:rsidRDefault="00217389" w:rsidP="00217389">
      <w:pPr>
        <w:rPr>
          <w:rFonts w:ascii="Arial" w:hAnsi="Arial" w:cs="Arial"/>
          <w:sz w:val="22"/>
        </w:rPr>
      </w:pPr>
      <w:r w:rsidRPr="00217389">
        <w:rPr>
          <w:rFonts w:ascii="Arial" w:hAnsi="Arial" w:cs="Arial"/>
          <w:sz w:val="22"/>
        </w:rPr>
        <w:t xml:space="preserve">The Department of Social Services </w:t>
      </w:r>
      <w:r w:rsidR="00B6654B">
        <w:rPr>
          <w:rFonts w:ascii="Arial" w:hAnsi="Arial" w:cs="Arial"/>
          <w:sz w:val="22"/>
        </w:rPr>
        <w:t xml:space="preserve">(DSS) </w:t>
      </w:r>
      <w:r>
        <w:rPr>
          <w:rFonts w:ascii="Arial" w:hAnsi="Arial" w:cs="Arial"/>
          <w:sz w:val="22"/>
        </w:rPr>
        <w:t xml:space="preserve">is implementing changes to the way </w:t>
      </w:r>
      <w:r w:rsidR="002469A2">
        <w:rPr>
          <w:rFonts w:ascii="Arial" w:hAnsi="Arial" w:cs="Arial"/>
          <w:sz w:val="22"/>
        </w:rPr>
        <w:t>organisa</w:t>
      </w:r>
      <w:r w:rsidR="00675391">
        <w:rPr>
          <w:rFonts w:ascii="Arial" w:hAnsi="Arial" w:cs="Arial"/>
          <w:sz w:val="22"/>
        </w:rPr>
        <w:t xml:space="preserve">tions funded by DSS </w:t>
      </w:r>
      <w:r>
        <w:rPr>
          <w:rFonts w:ascii="Arial" w:hAnsi="Arial" w:cs="Arial"/>
          <w:sz w:val="22"/>
        </w:rPr>
        <w:t>report data for the services they deliver to their clients.</w:t>
      </w:r>
    </w:p>
    <w:p w14:paraId="43336BCC" w14:textId="6C98F633" w:rsidR="00217389" w:rsidRDefault="00217389" w:rsidP="0021738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These changes are designed to streamline </w:t>
      </w:r>
      <w:r w:rsidR="00B6654B">
        <w:rPr>
          <w:rFonts w:ascii="Arial" w:hAnsi="Arial" w:cs="Arial"/>
          <w:sz w:val="22"/>
        </w:rPr>
        <w:t xml:space="preserve">data reporting across all DSS programs </w:t>
      </w:r>
      <w:r w:rsidR="00B6654B" w:rsidRPr="00B6654B">
        <w:rPr>
          <w:rFonts w:ascii="Arial" w:hAnsi="Arial" w:cs="Arial"/>
          <w:sz w:val="22"/>
        </w:rPr>
        <w:t>to collect clear and consistent information for all client facing activities</w:t>
      </w:r>
      <w:r w:rsidR="00B6654B">
        <w:rPr>
          <w:rFonts w:ascii="Arial" w:hAnsi="Arial" w:cs="Arial"/>
          <w:sz w:val="22"/>
        </w:rPr>
        <w:t>.</w:t>
      </w:r>
    </w:p>
    <w:p w14:paraId="0A032A57" w14:textId="1EB9920E" w:rsidR="00B6654B" w:rsidRPr="00B6654B" w:rsidRDefault="007E5E1D" w:rsidP="00B6654B">
      <w:pPr>
        <w:rPr>
          <w:rFonts w:ascii="Arial" w:hAnsi="Arial" w:cs="Arial"/>
          <w:sz w:val="22"/>
        </w:rPr>
      </w:pPr>
      <w:bookmarkStart w:id="0" w:name="_Hlk216179978"/>
      <w:r w:rsidRPr="007E5E1D">
        <w:rPr>
          <w:rFonts w:ascii="Arial" w:hAnsi="Arial" w:cs="Arial"/>
          <w:sz w:val="22"/>
        </w:rPr>
        <w:t>From 1 March 2026 (during the Jan - June reporting period due 30 July 2026) most DSS service providers delivering client facing services will report the following</w:t>
      </w:r>
      <w:r w:rsidR="00B6654B" w:rsidRPr="00B6654B">
        <w:rPr>
          <w:rFonts w:ascii="Arial" w:hAnsi="Arial" w:cs="Arial"/>
          <w:sz w:val="22"/>
        </w:rPr>
        <w:t>:</w:t>
      </w:r>
    </w:p>
    <w:p w14:paraId="367C017B" w14:textId="386BEDA7" w:rsidR="00B6654B" w:rsidRPr="00B6654B" w:rsidRDefault="00B6654B" w:rsidP="00B6654B">
      <w:pPr>
        <w:pStyle w:val="ListParagraph"/>
        <w:numPr>
          <w:ilvl w:val="0"/>
          <w:numId w:val="38"/>
        </w:numPr>
        <w:rPr>
          <w:rFonts w:ascii="Arial" w:hAnsi="Arial" w:cs="Arial"/>
          <w:sz w:val="22"/>
        </w:rPr>
      </w:pPr>
      <w:r w:rsidRPr="00B6654B">
        <w:rPr>
          <w:rFonts w:ascii="Arial" w:hAnsi="Arial" w:cs="Arial"/>
          <w:sz w:val="22"/>
        </w:rPr>
        <w:t>Priority Requirement client and service details</w:t>
      </w:r>
    </w:p>
    <w:p w14:paraId="4E519629" w14:textId="544A2D40" w:rsidR="00B6654B" w:rsidRPr="007A70D8" w:rsidRDefault="007A70D8" w:rsidP="007A70D8">
      <w:pPr>
        <w:pStyle w:val="ListParagraph"/>
        <w:numPr>
          <w:ilvl w:val="0"/>
          <w:numId w:val="38"/>
        </w:numPr>
        <w:rPr>
          <w:rFonts w:ascii="Arial" w:hAnsi="Arial" w:cs="Arial"/>
          <w:sz w:val="22"/>
        </w:rPr>
      </w:pPr>
      <w:r w:rsidRPr="007A70D8">
        <w:rPr>
          <w:rFonts w:ascii="Arial" w:hAnsi="Arial" w:cs="Arial"/>
          <w:sz w:val="22"/>
        </w:rPr>
        <w:t>O</w:t>
      </w:r>
      <w:r w:rsidR="00B6654B" w:rsidRPr="007A70D8">
        <w:rPr>
          <w:rFonts w:ascii="Arial" w:hAnsi="Arial" w:cs="Arial"/>
          <w:sz w:val="22"/>
        </w:rPr>
        <w:t xml:space="preserve">utcomes using the Standard Client/Community Outcomes Reporting (SCORE) </w:t>
      </w:r>
      <w:r>
        <w:rPr>
          <w:rFonts w:ascii="Arial" w:hAnsi="Arial" w:cs="Arial"/>
          <w:sz w:val="22"/>
        </w:rPr>
        <w:t>and</w:t>
      </w:r>
    </w:p>
    <w:p w14:paraId="696BF20B" w14:textId="228B4A15" w:rsidR="00B6654B" w:rsidRDefault="007A70D8" w:rsidP="007A70D8">
      <w:pPr>
        <w:pStyle w:val="ListParagraph"/>
        <w:numPr>
          <w:ilvl w:val="0"/>
          <w:numId w:val="38"/>
        </w:numPr>
        <w:rPr>
          <w:rFonts w:ascii="Arial" w:hAnsi="Arial" w:cs="Arial"/>
          <w:sz w:val="22"/>
        </w:rPr>
      </w:pPr>
      <w:r w:rsidRPr="007A70D8">
        <w:rPr>
          <w:rFonts w:ascii="Arial" w:hAnsi="Arial" w:cs="Arial"/>
          <w:sz w:val="22"/>
        </w:rPr>
        <w:t>G</w:t>
      </w:r>
      <w:r w:rsidR="00B6654B" w:rsidRPr="007A70D8">
        <w:rPr>
          <w:rFonts w:ascii="Arial" w:hAnsi="Arial" w:cs="Arial"/>
          <w:sz w:val="22"/>
        </w:rPr>
        <w:t>roup activity data twice a year (at a minimum), like a census.</w:t>
      </w:r>
      <w:r w:rsidR="002347AB">
        <w:rPr>
          <w:rFonts w:ascii="Arial" w:hAnsi="Arial" w:cs="Arial"/>
          <w:sz w:val="22"/>
        </w:rPr>
        <w:t xml:space="preserve"> </w:t>
      </w:r>
    </w:p>
    <w:p w14:paraId="52624844" w14:textId="77777777" w:rsidR="002C33D7" w:rsidRPr="007A70D8" w:rsidRDefault="002C33D7" w:rsidP="00BE5325">
      <w:pPr>
        <w:pStyle w:val="ListParagraph"/>
        <w:rPr>
          <w:rFonts w:ascii="Arial" w:hAnsi="Arial" w:cs="Arial"/>
          <w:sz w:val="22"/>
        </w:rPr>
      </w:pPr>
    </w:p>
    <w:bookmarkEnd w:id="0"/>
    <w:p w14:paraId="2781BAA8" w14:textId="4F379E94" w:rsidR="00B6654B" w:rsidRPr="0092185E" w:rsidRDefault="00B6654B" w:rsidP="00EC1808">
      <w:pPr>
        <w:pStyle w:val="Heading2"/>
      </w:pPr>
      <w:r w:rsidRPr="0092185E">
        <w:t>When will the changes be effective from?</w:t>
      </w:r>
    </w:p>
    <w:p w14:paraId="0FF1967D" w14:textId="7BF69EE8" w:rsidR="00B6654B" w:rsidRDefault="00B6654B" w:rsidP="00217389">
      <w:pPr>
        <w:rPr>
          <w:rFonts w:ascii="Arial" w:hAnsi="Arial" w:cs="Arial"/>
          <w:sz w:val="22"/>
        </w:rPr>
      </w:pPr>
      <w:r w:rsidRPr="00B6654B">
        <w:rPr>
          <w:rFonts w:ascii="Arial" w:hAnsi="Arial" w:cs="Arial"/>
          <w:sz w:val="22"/>
        </w:rPr>
        <w:t>These changes will commence from 1 March 2026 for most ongoing programs funded by DSS. Activities that end by 30 June 2026, will not be affected.</w:t>
      </w:r>
    </w:p>
    <w:p w14:paraId="58251378" w14:textId="77777777" w:rsidR="00B6654B" w:rsidRDefault="00B6654B" w:rsidP="00217389">
      <w:pPr>
        <w:rPr>
          <w:rFonts w:ascii="Arial" w:hAnsi="Arial" w:cs="Arial"/>
          <w:sz w:val="22"/>
        </w:rPr>
      </w:pPr>
    </w:p>
    <w:p w14:paraId="4B02D1C2" w14:textId="132A39A3" w:rsidR="007A70D8" w:rsidRPr="0092185E" w:rsidRDefault="007A70D8" w:rsidP="00EC1808">
      <w:pPr>
        <w:pStyle w:val="Heading2"/>
      </w:pPr>
      <w:r w:rsidRPr="0092185E">
        <w:t>Will these changes apply to</w:t>
      </w:r>
      <w:r w:rsidR="00071277">
        <w:t xml:space="preserve"> reporting in DEX for</w:t>
      </w:r>
      <w:r w:rsidRPr="0092185E">
        <w:t xml:space="preserve"> programs </w:t>
      </w:r>
      <w:r w:rsidR="004E3AF2">
        <w:t>funded by other Government departments?</w:t>
      </w:r>
    </w:p>
    <w:p w14:paraId="22DF169E" w14:textId="606737B1" w:rsidR="007A70D8" w:rsidRDefault="007A70D8" w:rsidP="0021738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No, the changes only apply to DSS fund</w:t>
      </w:r>
      <w:r w:rsidR="004E3AF2">
        <w:rPr>
          <w:rFonts w:ascii="Arial" w:hAnsi="Arial" w:cs="Arial"/>
          <w:sz w:val="22"/>
        </w:rPr>
        <w:t>ed</w:t>
      </w:r>
      <w:r>
        <w:rPr>
          <w:rFonts w:ascii="Arial" w:hAnsi="Arial" w:cs="Arial"/>
          <w:sz w:val="22"/>
        </w:rPr>
        <w:t xml:space="preserve"> programs.</w:t>
      </w:r>
    </w:p>
    <w:p w14:paraId="6337F3B9" w14:textId="6F263B7D" w:rsidR="007A70D8" w:rsidRDefault="007A70D8" w:rsidP="0021738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your organisation receives funding from other agencies, you will </w:t>
      </w:r>
      <w:r w:rsidR="0092185E">
        <w:rPr>
          <w:rFonts w:ascii="Arial" w:hAnsi="Arial" w:cs="Arial"/>
          <w:sz w:val="22"/>
        </w:rPr>
        <w:t xml:space="preserve">be expected to </w:t>
      </w:r>
      <w:r>
        <w:rPr>
          <w:rFonts w:ascii="Arial" w:hAnsi="Arial" w:cs="Arial"/>
          <w:sz w:val="22"/>
        </w:rPr>
        <w:t xml:space="preserve">continue to report </w:t>
      </w:r>
      <w:r w:rsidR="0092185E">
        <w:rPr>
          <w:rFonts w:ascii="Arial" w:hAnsi="Arial" w:cs="Arial"/>
          <w:sz w:val="22"/>
        </w:rPr>
        <w:t xml:space="preserve">your data as per the advice in the </w:t>
      </w:r>
      <w:hyperlink r:id="rId8" w:history="1">
        <w:r w:rsidR="0092185E" w:rsidRPr="0092185E">
          <w:rPr>
            <w:rStyle w:val="Hyperlink"/>
            <w:rFonts w:ascii="Arial" w:hAnsi="Arial" w:cs="Arial"/>
            <w:sz w:val="22"/>
          </w:rPr>
          <w:t>Program Specific Guidance</w:t>
        </w:r>
      </w:hyperlink>
      <w:r w:rsidR="0092185E">
        <w:rPr>
          <w:rFonts w:ascii="Arial" w:hAnsi="Arial" w:cs="Arial"/>
          <w:sz w:val="22"/>
        </w:rPr>
        <w:t xml:space="preserve"> for these programs.</w:t>
      </w:r>
    </w:p>
    <w:p w14:paraId="16451C31" w14:textId="77777777" w:rsidR="00997B71" w:rsidRDefault="00997B71" w:rsidP="00217389">
      <w:pPr>
        <w:rPr>
          <w:rFonts w:ascii="Arial" w:hAnsi="Arial" w:cs="Arial"/>
          <w:sz w:val="22"/>
        </w:rPr>
      </w:pPr>
    </w:p>
    <w:p w14:paraId="34FA9FE7" w14:textId="673D9CA9" w:rsidR="007A70D8" w:rsidRPr="0092185E" w:rsidRDefault="007A70D8" w:rsidP="00EC1808">
      <w:pPr>
        <w:pStyle w:val="Heading2"/>
      </w:pPr>
      <w:r w:rsidRPr="0092185E">
        <w:t>Why is DSS making these changes?</w:t>
      </w:r>
    </w:p>
    <w:p w14:paraId="16A890DF" w14:textId="465E20E0" w:rsidR="007A70D8" w:rsidRDefault="007A70D8" w:rsidP="007A70D8">
      <w:pPr>
        <w:rPr>
          <w:rFonts w:ascii="Arial" w:hAnsi="Arial" w:cs="Arial"/>
          <w:sz w:val="22"/>
        </w:rPr>
      </w:pPr>
      <w:r w:rsidRPr="007A70D8">
        <w:rPr>
          <w:rFonts w:ascii="Arial" w:hAnsi="Arial" w:cs="Arial"/>
          <w:sz w:val="22"/>
        </w:rPr>
        <w:t>Providers have asked for simpler reporting and better feedback. These changes will:</w:t>
      </w:r>
    </w:p>
    <w:p w14:paraId="7B3B9B95" w14:textId="6A8D9774" w:rsidR="007A70D8" w:rsidRDefault="007A70D8" w:rsidP="007A70D8">
      <w:pPr>
        <w:pStyle w:val="ListParagraph"/>
        <w:numPr>
          <w:ilvl w:val="0"/>
          <w:numId w:val="4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Pr="007A70D8">
        <w:rPr>
          <w:rFonts w:ascii="Arial" w:hAnsi="Arial" w:cs="Arial"/>
          <w:sz w:val="22"/>
        </w:rPr>
        <w:t>educe reporting complexity</w:t>
      </w:r>
    </w:p>
    <w:p w14:paraId="4D1D86C7" w14:textId="310BA903" w:rsidR="007A70D8" w:rsidRDefault="007A70D8" w:rsidP="007A70D8">
      <w:pPr>
        <w:pStyle w:val="ListParagraph"/>
        <w:numPr>
          <w:ilvl w:val="0"/>
          <w:numId w:val="4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Improve data quality and</w:t>
      </w:r>
    </w:p>
    <w:p w14:paraId="52BA030F" w14:textId="7CFD371A" w:rsidR="006A05A3" w:rsidRDefault="007A70D8" w:rsidP="00457430">
      <w:pPr>
        <w:pStyle w:val="ListParagraph"/>
        <w:numPr>
          <w:ilvl w:val="0"/>
          <w:numId w:val="4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Enable better reports and insights for providers to plan services</w:t>
      </w:r>
    </w:p>
    <w:p w14:paraId="50E4F0FB" w14:textId="77777777" w:rsidR="00997B71" w:rsidRPr="00457430" w:rsidRDefault="00997B71" w:rsidP="00997B71">
      <w:pPr>
        <w:pStyle w:val="ListParagraph"/>
        <w:rPr>
          <w:rFonts w:ascii="Arial" w:hAnsi="Arial" w:cs="Arial"/>
          <w:sz w:val="22"/>
        </w:rPr>
      </w:pPr>
    </w:p>
    <w:p w14:paraId="2E58AF11" w14:textId="2C14746C" w:rsidR="0092185E" w:rsidRDefault="00EF1741" w:rsidP="00EC1808">
      <w:pPr>
        <w:pStyle w:val="Heading2"/>
      </w:pPr>
      <w:r w:rsidRPr="006C4F6B">
        <w:t>Where can I find out more?</w:t>
      </w:r>
    </w:p>
    <w:p w14:paraId="44F41C33" w14:textId="6504C1C9" w:rsidR="00777948" w:rsidRPr="00B45F79" w:rsidRDefault="00777948" w:rsidP="007A70D8">
      <w:pPr>
        <w:rPr>
          <w:rFonts w:ascii="Arial" w:hAnsi="Arial" w:cs="Arial"/>
          <w:sz w:val="22"/>
        </w:rPr>
      </w:pPr>
      <w:r w:rsidRPr="0076163F">
        <w:rPr>
          <w:rFonts w:ascii="Arial" w:hAnsi="Arial" w:cs="Arial"/>
          <w:sz w:val="22"/>
        </w:rPr>
        <w:t>We will contact</w:t>
      </w:r>
      <w:r w:rsidR="00364E6E">
        <w:rPr>
          <w:rFonts w:ascii="Arial" w:hAnsi="Arial" w:cs="Arial"/>
          <w:sz w:val="22"/>
        </w:rPr>
        <w:t xml:space="preserve"> </w:t>
      </w:r>
      <w:r w:rsidR="0076163F">
        <w:rPr>
          <w:rFonts w:ascii="Arial" w:hAnsi="Arial" w:cs="Arial"/>
          <w:sz w:val="22"/>
        </w:rPr>
        <w:t xml:space="preserve">affected providers with </w:t>
      </w:r>
      <w:r w:rsidRPr="0076163F">
        <w:rPr>
          <w:rFonts w:ascii="Arial" w:hAnsi="Arial" w:cs="Arial"/>
          <w:sz w:val="22"/>
        </w:rPr>
        <w:t xml:space="preserve">more detailed information and updates to the </w:t>
      </w:r>
      <w:hyperlink r:id="rId9" w:history="1">
        <w:r w:rsidRPr="0076163F">
          <w:rPr>
            <w:rStyle w:val="Hyperlink"/>
            <w:rFonts w:ascii="Arial" w:hAnsi="Arial" w:cs="Arial"/>
            <w:sz w:val="22"/>
          </w:rPr>
          <w:t>Data Exchange Protocols and Program Specific Guidance</w:t>
        </w:r>
      </w:hyperlink>
      <w:r w:rsidRPr="00B45F79">
        <w:rPr>
          <w:rFonts w:ascii="Arial" w:hAnsi="Arial" w:cs="Arial"/>
          <w:sz w:val="22"/>
        </w:rPr>
        <w:t xml:space="preserve"> in the coming months.</w:t>
      </w:r>
    </w:p>
    <w:p w14:paraId="083E48E6" w14:textId="2292D6F6" w:rsidR="00EF1741" w:rsidRDefault="00EF1741" w:rsidP="007A70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Up to date information will be shared on </w:t>
      </w:r>
      <w:hyperlink r:id="rId10" w:history="1">
        <w:r w:rsidRPr="00CC2A19">
          <w:rPr>
            <w:rStyle w:val="Hyperlink"/>
            <w:rFonts w:ascii="Arial" w:hAnsi="Arial" w:cs="Arial"/>
            <w:sz w:val="22"/>
          </w:rPr>
          <w:t>the Data Exchange website</w:t>
        </w:r>
      </w:hyperlink>
      <w:r>
        <w:rPr>
          <w:rFonts w:ascii="Arial" w:hAnsi="Arial" w:cs="Arial"/>
          <w:sz w:val="22"/>
        </w:rPr>
        <w:t>.</w:t>
      </w:r>
    </w:p>
    <w:p w14:paraId="00AC2FC2" w14:textId="5C25C3EA" w:rsidR="00B6654B" w:rsidRDefault="00A5358C" w:rsidP="00217389">
      <w:pPr>
        <w:rPr>
          <w:rFonts w:ascii="Arial" w:hAnsi="Arial" w:cs="Arial"/>
          <w:sz w:val="22"/>
        </w:rPr>
      </w:pPr>
      <w:r w:rsidRPr="00364E6E">
        <w:rPr>
          <w:rFonts w:ascii="Arial" w:hAnsi="Arial" w:cs="Arial"/>
          <w:sz w:val="22"/>
        </w:rPr>
        <w:t xml:space="preserve">Support is also available through the DEX </w:t>
      </w:r>
      <w:r w:rsidR="001769DA" w:rsidRPr="00364E6E">
        <w:rPr>
          <w:rFonts w:ascii="Arial" w:hAnsi="Arial" w:cs="Arial"/>
          <w:sz w:val="22"/>
        </w:rPr>
        <w:t>h</w:t>
      </w:r>
      <w:r w:rsidRPr="00364E6E">
        <w:rPr>
          <w:rFonts w:ascii="Arial" w:hAnsi="Arial" w:cs="Arial"/>
          <w:sz w:val="22"/>
        </w:rPr>
        <w:t xml:space="preserve">elpdesk </w:t>
      </w:r>
      <w:hyperlink r:id="rId11" w:history="1">
        <w:r w:rsidR="005570EA" w:rsidRPr="00364E6E">
          <w:rPr>
            <w:rStyle w:val="Hyperlink"/>
            <w:rFonts w:ascii="Arial" w:hAnsi="Arial" w:cs="Arial"/>
            <w:sz w:val="22"/>
          </w:rPr>
          <w:t>dssdataexchange.helpdesk@dss.gov.au</w:t>
        </w:r>
      </w:hyperlink>
      <w:r w:rsidR="005570EA">
        <w:rPr>
          <w:rFonts w:ascii="Arial" w:hAnsi="Arial" w:cs="Arial"/>
          <w:sz w:val="22"/>
        </w:rPr>
        <w:t xml:space="preserve">. </w:t>
      </w:r>
      <w:r w:rsidR="005570EA" w:rsidRPr="005570EA">
        <w:rPr>
          <w:rFonts w:ascii="Arial" w:hAnsi="Arial" w:cs="Arial"/>
          <w:sz w:val="22"/>
        </w:rPr>
        <w:t>Your Funding Arrangement Manager can also assist with general grant support. </w:t>
      </w:r>
    </w:p>
    <w:p w14:paraId="0AAC2073" w14:textId="77777777" w:rsidR="006B52E1" w:rsidRDefault="006B52E1" w:rsidP="004B08ED">
      <w:pPr>
        <w:rPr>
          <w:rFonts w:ascii="Arial" w:hAnsi="Arial" w:cs="Arial"/>
          <w:b/>
          <w:bCs/>
          <w:sz w:val="24"/>
          <w:szCs w:val="24"/>
        </w:rPr>
      </w:pPr>
    </w:p>
    <w:p w14:paraId="33789509" w14:textId="4DE94FED" w:rsidR="004B08ED" w:rsidRDefault="00226353" w:rsidP="00EC1808">
      <w:pPr>
        <w:pStyle w:val="Heading2"/>
      </w:pPr>
      <w:r>
        <w:lastRenderedPageBreak/>
        <w:t xml:space="preserve">Key Resources </w:t>
      </w:r>
    </w:p>
    <w:p w14:paraId="616D29C7" w14:textId="7B1F43D6" w:rsidR="009E66F2" w:rsidRDefault="00384BA5" w:rsidP="0021738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hyperlink r:id="rId12" w:history="1">
        <w:r w:rsidRPr="006759A7">
          <w:rPr>
            <w:rStyle w:val="Hyperlink"/>
            <w:rFonts w:ascii="Arial" w:hAnsi="Arial" w:cs="Arial"/>
            <w:sz w:val="22"/>
          </w:rPr>
          <w:t>DEX Webpage</w:t>
        </w:r>
      </w:hyperlink>
      <w:r>
        <w:rPr>
          <w:rFonts w:ascii="Arial" w:hAnsi="Arial" w:cs="Arial"/>
          <w:sz w:val="22"/>
        </w:rPr>
        <w:t xml:space="preserve"> includes a range of training resources</w:t>
      </w:r>
      <w:r w:rsidR="00997B71">
        <w:rPr>
          <w:rFonts w:ascii="Arial" w:hAnsi="Arial" w:cs="Arial"/>
          <w:sz w:val="22"/>
        </w:rPr>
        <w:t>.</w:t>
      </w:r>
    </w:p>
    <w:p w14:paraId="098DB7D5" w14:textId="6F90937D" w:rsidR="00F16C3C" w:rsidRDefault="009E66F2" w:rsidP="0021738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is a set of useful resources about</w:t>
      </w:r>
      <w:r w:rsidR="00384BA5">
        <w:rPr>
          <w:rFonts w:ascii="Arial" w:hAnsi="Arial" w:cs="Arial"/>
          <w:sz w:val="22"/>
        </w:rPr>
        <w:t xml:space="preserve"> </w:t>
      </w:r>
      <w:hyperlink r:id="rId13" w:anchor="a5" w:history="1">
        <w:r w:rsidR="00874383" w:rsidRPr="004A7953">
          <w:rPr>
            <w:rStyle w:val="Hyperlink"/>
            <w:rFonts w:ascii="Arial" w:hAnsi="Arial" w:cs="Arial"/>
            <w:sz w:val="22"/>
          </w:rPr>
          <w:t>Standard Community/Client Outcomes Reporting (SCORE</w:t>
        </w:r>
      </w:hyperlink>
      <w:r w:rsidR="00874383" w:rsidRPr="004A7953">
        <w:rPr>
          <w:rFonts w:ascii="Arial" w:hAnsi="Arial" w:cs="Arial"/>
          <w:sz w:val="22"/>
        </w:rPr>
        <w:t>)</w:t>
      </w:r>
      <w:r w:rsidR="00457430">
        <w:rPr>
          <w:rFonts w:ascii="Arial" w:hAnsi="Arial" w:cs="Arial"/>
          <w:sz w:val="22"/>
        </w:rPr>
        <w:t>.</w:t>
      </w:r>
    </w:p>
    <w:p w14:paraId="6BE662E2" w14:textId="75FED6CA" w:rsidR="00217389" w:rsidRPr="004A7953" w:rsidRDefault="00835850" w:rsidP="0021738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DEX bulk upload options </w:t>
      </w:r>
      <w:r w:rsidR="00E62795">
        <w:rPr>
          <w:rFonts w:ascii="Arial" w:hAnsi="Arial" w:cs="Arial"/>
          <w:sz w:val="22"/>
        </w:rPr>
        <w:t xml:space="preserve">can </w:t>
      </w:r>
      <w:r>
        <w:rPr>
          <w:rFonts w:ascii="Arial" w:hAnsi="Arial" w:cs="Arial"/>
          <w:sz w:val="22"/>
        </w:rPr>
        <w:t>provide a wa</w:t>
      </w:r>
      <w:r w:rsidR="00600BEB">
        <w:rPr>
          <w:rFonts w:ascii="Arial" w:hAnsi="Arial" w:cs="Arial"/>
          <w:sz w:val="22"/>
        </w:rPr>
        <w:t xml:space="preserve">y for organisations to </w:t>
      </w:r>
      <w:r w:rsidR="00A50316">
        <w:rPr>
          <w:rFonts w:ascii="Arial" w:hAnsi="Arial" w:cs="Arial"/>
          <w:sz w:val="22"/>
        </w:rPr>
        <w:t xml:space="preserve">upload data to DEX from </w:t>
      </w:r>
      <w:r w:rsidR="008A1EBA">
        <w:rPr>
          <w:rFonts w:ascii="Arial" w:hAnsi="Arial" w:cs="Arial"/>
          <w:sz w:val="22"/>
        </w:rPr>
        <w:t xml:space="preserve">an existing </w:t>
      </w:r>
      <w:r w:rsidR="00FD1E95">
        <w:rPr>
          <w:rFonts w:ascii="Arial" w:hAnsi="Arial" w:cs="Arial"/>
          <w:sz w:val="22"/>
        </w:rPr>
        <w:t>record keeping system</w:t>
      </w:r>
      <w:r w:rsidR="0056150D">
        <w:rPr>
          <w:rFonts w:ascii="Arial" w:hAnsi="Arial" w:cs="Arial"/>
          <w:sz w:val="22"/>
        </w:rPr>
        <w:t>. This can reduce admin time in reporting and allow greater integration with existing ways of working.</w:t>
      </w:r>
      <w:r w:rsidR="00457430">
        <w:rPr>
          <w:rFonts w:ascii="Arial" w:hAnsi="Arial" w:cs="Arial"/>
          <w:sz w:val="22"/>
        </w:rPr>
        <w:t xml:space="preserve"> View the</w:t>
      </w:r>
      <w:r w:rsidR="00D13F43">
        <w:rPr>
          <w:rFonts w:ascii="Arial" w:hAnsi="Arial" w:cs="Arial"/>
          <w:sz w:val="22"/>
        </w:rPr>
        <w:t xml:space="preserve"> </w:t>
      </w:r>
      <w:hyperlink r:id="rId14" w:history="1">
        <w:r w:rsidR="00D2550C" w:rsidRPr="00457430">
          <w:rPr>
            <w:rStyle w:val="Hyperlink"/>
            <w:rFonts w:ascii="Arial" w:hAnsi="Arial" w:cs="Arial"/>
            <w:sz w:val="22"/>
          </w:rPr>
          <w:t>File Upload Technical Specifications</w:t>
        </w:r>
      </w:hyperlink>
      <w:r w:rsidR="00D2550C">
        <w:rPr>
          <w:rFonts w:ascii="Arial" w:hAnsi="Arial" w:cs="Arial"/>
          <w:sz w:val="22"/>
        </w:rPr>
        <w:t xml:space="preserve"> </w:t>
      </w:r>
      <w:r w:rsidR="00457430">
        <w:rPr>
          <w:rFonts w:ascii="Arial" w:hAnsi="Arial" w:cs="Arial"/>
          <w:sz w:val="22"/>
        </w:rPr>
        <w:t xml:space="preserve">for further detail. </w:t>
      </w:r>
      <w:r w:rsidR="00D2550C">
        <w:rPr>
          <w:rFonts w:ascii="Arial" w:hAnsi="Arial" w:cs="Arial"/>
          <w:sz w:val="22"/>
        </w:rPr>
        <w:t xml:space="preserve"> </w:t>
      </w:r>
    </w:p>
    <w:p w14:paraId="5C65BF6A" w14:textId="5C0E2D9D" w:rsidR="00217389" w:rsidRPr="00457430" w:rsidRDefault="00457430" w:rsidP="00217389">
      <w:pPr>
        <w:rPr>
          <w:rFonts w:ascii="Arial" w:hAnsi="Arial" w:cs="Arial"/>
          <w:sz w:val="22"/>
        </w:rPr>
      </w:pPr>
      <w:hyperlink r:id="rId15" w:history="1">
        <w:r w:rsidRPr="006B52E1">
          <w:rPr>
            <w:rStyle w:val="Hyperlink"/>
            <w:rFonts w:ascii="Arial" w:hAnsi="Arial" w:cs="Arial"/>
            <w:sz w:val="22"/>
          </w:rPr>
          <w:t>This recent webinar</w:t>
        </w:r>
      </w:hyperlink>
      <w:r>
        <w:rPr>
          <w:rFonts w:ascii="Arial" w:hAnsi="Arial" w:cs="Arial"/>
          <w:sz w:val="22"/>
        </w:rPr>
        <w:t xml:space="preserve"> </w:t>
      </w:r>
      <w:r w:rsidR="00F35E47">
        <w:rPr>
          <w:rFonts w:ascii="Arial" w:hAnsi="Arial" w:cs="Arial"/>
          <w:sz w:val="22"/>
        </w:rPr>
        <w:t xml:space="preserve">covers the changes happening in DEX reporting, </w:t>
      </w:r>
      <w:r w:rsidR="00EF25BC">
        <w:rPr>
          <w:rFonts w:ascii="Arial" w:hAnsi="Arial" w:cs="Arial"/>
          <w:sz w:val="22"/>
        </w:rPr>
        <w:t>basic manual data entry in DEX and shows reports available to</w:t>
      </w:r>
      <w:r w:rsidR="00DA3E20">
        <w:rPr>
          <w:rFonts w:ascii="Arial" w:hAnsi="Arial" w:cs="Arial"/>
          <w:sz w:val="22"/>
        </w:rPr>
        <w:t xml:space="preserve"> organisations using the data they have uploaded in DEX</w:t>
      </w:r>
      <w:r w:rsidR="006B52E1">
        <w:rPr>
          <w:rFonts w:ascii="Arial" w:hAnsi="Arial" w:cs="Arial"/>
          <w:sz w:val="22"/>
        </w:rPr>
        <w:t>.</w:t>
      </w:r>
    </w:p>
    <w:p w14:paraId="7CEEB6CE" w14:textId="6D1A2DB2" w:rsidR="00F16C3C" w:rsidRPr="00217389" w:rsidRDefault="00F16C3C" w:rsidP="00217389"/>
    <w:sectPr w:rsidR="00F16C3C" w:rsidRPr="00217389" w:rsidSect="00776B15">
      <w:footerReference w:type="default" r:id="rId16"/>
      <w:headerReference w:type="first" r:id="rId17"/>
      <w:footerReference w:type="first" r:id="rId18"/>
      <w:pgSz w:w="11906" w:h="16838"/>
      <w:pgMar w:top="720" w:right="720" w:bottom="284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95F0" w14:textId="77777777" w:rsidR="00F77894" w:rsidRDefault="00F77894" w:rsidP="00C46F4D">
      <w:pPr>
        <w:spacing w:after="0" w:line="240" w:lineRule="auto"/>
      </w:pPr>
      <w:r>
        <w:separator/>
      </w:r>
    </w:p>
  </w:endnote>
  <w:endnote w:type="continuationSeparator" w:id="0">
    <w:p w14:paraId="200CAB40" w14:textId="77777777" w:rsidR="00F77894" w:rsidRDefault="00F77894" w:rsidP="00C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9"/>
      <w:gridCol w:w="1047"/>
    </w:tblGrid>
    <w:tr w:rsidR="005559EA" w:rsidRPr="002A15E1" w14:paraId="44E557DC" w14:textId="77777777" w:rsidTr="00026428">
      <w:trPr>
        <w:trHeight w:val="20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138BFE7A" w14:textId="52B40C9B" w:rsidR="005559EA" w:rsidRPr="002A15E1" w:rsidRDefault="005559EA" w:rsidP="00DA2398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0" w:type="pct"/>
          <w:tcBorders>
            <w:top w:val="single" w:sz="4" w:space="0" w:color="04617B" w:themeColor="accent2"/>
          </w:tcBorders>
          <w:shd w:val="clear" w:color="auto" w:fill="03485B" w:themeFill="accent2" w:themeFillShade="BF"/>
        </w:tcPr>
        <w:p w14:paraId="7CAE46F6" w14:textId="1ED90D2E" w:rsidR="005559EA" w:rsidRPr="00B530CB" w:rsidRDefault="005559EA" w:rsidP="006F0CB4">
          <w:pPr>
            <w:pStyle w:val="Header"/>
            <w:jc w:val="right"/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</w:pPr>
          <w:r w:rsidRPr="00B530C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530CB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B530C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91393" w:rsidRPr="00C91393">
            <w:rPr>
              <w:rFonts w:ascii="Arial" w:hAnsi="Arial" w:cs="Arial"/>
              <w:b/>
              <w:noProof/>
              <w:color w:val="FFFFFF" w:themeColor="background1"/>
              <w:sz w:val="18"/>
              <w:szCs w:val="18"/>
            </w:rPr>
            <w:t>19</w:t>
          </w:r>
          <w:r w:rsidRPr="00B530CB">
            <w:rPr>
              <w:rFonts w:ascii="Arial" w:hAnsi="Arial" w:cs="Arial"/>
              <w:b/>
              <w:noProof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2D685C94" w14:textId="77777777" w:rsidR="005559EA" w:rsidRPr="002A15E1" w:rsidRDefault="005559EA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9"/>
      <w:gridCol w:w="1047"/>
    </w:tblGrid>
    <w:tr w:rsidR="005559EA" w14:paraId="76E7AEAC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F30F5EC" w14:textId="606A4DE8" w:rsidR="005559EA" w:rsidRPr="002A15E1" w:rsidRDefault="005559E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0" w:type="pct"/>
          <w:tcBorders>
            <w:top w:val="single" w:sz="4" w:space="0" w:color="04617B" w:themeColor="accent2"/>
          </w:tcBorders>
          <w:shd w:val="clear" w:color="auto" w:fill="03485B" w:themeFill="accent2" w:themeFillShade="BF"/>
        </w:tcPr>
        <w:p w14:paraId="14575F17" w14:textId="346CC350" w:rsidR="005559EA" w:rsidRPr="00B530CB" w:rsidRDefault="005559EA" w:rsidP="006F0CB4">
          <w:pPr>
            <w:pStyle w:val="Header"/>
            <w:jc w:val="right"/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</w:pPr>
          <w:r w:rsidRPr="00B530C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530CB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B530C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91393" w:rsidRPr="00C91393">
            <w:rPr>
              <w:rFonts w:ascii="Arial" w:hAnsi="Arial" w:cs="Arial"/>
              <w:b/>
              <w:noProof/>
              <w:color w:val="FFFFFF" w:themeColor="background1"/>
              <w:sz w:val="18"/>
              <w:szCs w:val="18"/>
            </w:rPr>
            <w:t>1</w:t>
          </w:r>
          <w:r w:rsidRPr="00B530CB">
            <w:rPr>
              <w:rFonts w:ascii="Arial" w:hAnsi="Arial" w:cs="Arial"/>
              <w:b/>
              <w:noProof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124FAF7" w14:textId="77777777" w:rsidR="005559EA" w:rsidRDefault="00555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1609" w14:textId="77777777" w:rsidR="00F77894" w:rsidRDefault="00F77894" w:rsidP="00C46F4D">
      <w:pPr>
        <w:spacing w:after="0" w:line="240" w:lineRule="auto"/>
      </w:pPr>
      <w:r>
        <w:separator/>
      </w:r>
    </w:p>
  </w:footnote>
  <w:footnote w:type="continuationSeparator" w:id="0">
    <w:p w14:paraId="3700769C" w14:textId="77777777" w:rsidR="00F77894" w:rsidRDefault="00F77894" w:rsidP="00C4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9098" w14:textId="77777777" w:rsidR="005559EA" w:rsidRPr="00187FA0" w:rsidRDefault="005559EA" w:rsidP="00187FA0">
    <w:pPr>
      <w:pStyle w:val="Header"/>
      <w:rPr>
        <w:rFonts w:ascii="Georgia" w:hAnsi="Georgia"/>
        <w:noProof/>
        <w:color w:val="02303D" w:themeColor="accent5" w:themeShade="80"/>
        <w:szCs w:val="20"/>
        <w:lang w:eastAsia="en-AU"/>
      </w:rPr>
    </w:pPr>
    <w:r>
      <w:rPr>
        <w:rFonts w:ascii="Arial" w:hAnsi="Arial" w:cs="Arial"/>
        <w:noProof/>
        <w:color w:val="FFFFFF" w:themeColor="background1"/>
        <w:sz w:val="16"/>
        <w:szCs w:val="16"/>
        <w:lang w:eastAsia="en-AU"/>
      </w:rPr>
      <w:drawing>
        <wp:anchor distT="0" distB="0" distL="114300" distR="114300" simplePos="0" relativeHeight="251659264" behindDoc="0" locked="0" layoutInCell="1" allowOverlap="1" wp14:anchorId="6A847686" wp14:editId="31A0A1FA">
          <wp:simplePos x="0" y="0"/>
          <wp:positionH relativeFrom="page">
            <wp:posOffset>0</wp:posOffset>
          </wp:positionH>
          <wp:positionV relativeFrom="paragraph">
            <wp:posOffset>10795</wp:posOffset>
          </wp:positionV>
          <wp:extent cx="7545788" cy="921999"/>
          <wp:effectExtent l="0" t="0" r="0" b="0"/>
          <wp:wrapNone/>
          <wp:docPr id="11" name="Picture 11" descr="This is a screen shot of the Data Exchange header " title="The Data Exchang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This is a screen shot of the Data Exchange header with the following information:&#10;For technical support; contact the Data Exchange Helpdesk by email dssdataexchange.helpdesk@dss.gov.au or on 1800 020 283." title="The Data Exchange header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28" b="30468"/>
                  <a:stretch/>
                </pic:blipFill>
                <pic:spPr bwMode="auto">
                  <a:xfrm>
                    <a:off x="0" y="0"/>
                    <a:ext cx="7545788" cy="92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5079C" w14:textId="77777777" w:rsidR="005559EA" w:rsidRDefault="005559EA">
    <w:pPr>
      <w:pStyle w:val="Header"/>
      <w:rPr>
        <w:rFonts w:ascii="Georgia" w:hAnsi="Georgia"/>
        <w:noProof/>
        <w:color w:val="02303D" w:themeColor="accent5" w:themeShade="80"/>
        <w:sz w:val="56"/>
        <w:szCs w:val="56"/>
        <w:lang w:eastAsia="en-AU"/>
      </w:rPr>
    </w:pPr>
  </w:p>
  <w:p w14:paraId="6081D731" w14:textId="77777777" w:rsidR="005559EA" w:rsidRDefault="005559EA">
    <w:pPr>
      <w:pStyle w:val="Header"/>
      <w:rPr>
        <w:rFonts w:ascii="Georgia" w:hAnsi="Georgia"/>
        <w:noProof/>
        <w:color w:val="02303D" w:themeColor="accent5" w:themeShade="80"/>
        <w:sz w:val="56"/>
        <w:szCs w:val="56"/>
        <w:lang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9A3"/>
    <w:multiLevelType w:val="hybridMultilevel"/>
    <w:tmpl w:val="78444C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65348"/>
    <w:multiLevelType w:val="hybridMultilevel"/>
    <w:tmpl w:val="7DE061A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51C5D"/>
    <w:multiLevelType w:val="hybridMultilevel"/>
    <w:tmpl w:val="9E165FB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93A1E"/>
    <w:multiLevelType w:val="hybridMultilevel"/>
    <w:tmpl w:val="C704A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141E"/>
    <w:multiLevelType w:val="hybridMultilevel"/>
    <w:tmpl w:val="62D4F6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B7112"/>
    <w:multiLevelType w:val="hybridMultilevel"/>
    <w:tmpl w:val="5B28A52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8437D"/>
    <w:multiLevelType w:val="hybridMultilevel"/>
    <w:tmpl w:val="6BE0DA6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24B04"/>
    <w:multiLevelType w:val="hybridMultilevel"/>
    <w:tmpl w:val="444CA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D4D11"/>
    <w:multiLevelType w:val="hybridMultilevel"/>
    <w:tmpl w:val="A7AAA01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0744F"/>
    <w:multiLevelType w:val="hybridMultilevel"/>
    <w:tmpl w:val="83E6B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020B"/>
    <w:multiLevelType w:val="hybridMultilevel"/>
    <w:tmpl w:val="FEFCB69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68705D"/>
    <w:multiLevelType w:val="hybridMultilevel"/>
    <w:tmpl w:val="995E392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BB0656"/>
    <w:multiLevelType w:val="hybridMultilevel"/>
    <w:tmpl w:val="1FD69DFE"/>
    <w:lvl w:ilvl="0" w:tplc="C568A3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857E1D"/>
    <w:multiLevelType w:val="hybridMultilevel"/>
    <w:tmpl w:val="030057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1875E9"/>
    <w:multiLevelType w:val="hybridMultilevel"/>
    <w:tmpl w:val="5CA80A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903EA7"/>
    <w:multiLevelType w:val="hybridMultilevel"/>
    <w:tmpl w:val="52FAACA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2598E"/>
    <w:multiLevelType w:val="hybridMultilevel"/>
    <w:tmpl w:val="ECA6627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F16E64"/>
    <w:multiLevelType w:val="hybridMultilevel"/>
    <w:tmpl w:val="E760090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A148A"/>
    <w:multiLevelType w:val="hybridMultilevel"/>
    <w:tmpl w:val="4F76D6E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31438E"/>
    <w:multiLevelType w:val="hybridMultilevel"/>
    <w:tmpl w:val="D80CFDC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790E27"/>
    <w:multiLevelType w:val="hybridMultilevel"/>
    <w:tmpl w:val="48EA9E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237A21"/>
    <w:multiLevelType w:val="hybridMultilevel"/>
    <w:tmpl w:val="439C253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6C2924"/>
    <w:multiLevelType w:val="hybridMultilevel"/>
    <w:tmpl w:val="1C94AF5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C4FA7"/>
    <w:multiLevelType w:val="hybridMultilevel"/>
    <w:tmpl w:val="41326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E86CAE"/>
    <w:multiLevelType w:val="hybridMultilevel"/>
    <w:tmpl w:val="E640E18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812D2"/>
    <w:multiLevelType w:val="hybridMultilevel"/>
    <w:tmpl w:val="58648D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DD346F"/>
    <w:multiLevelType w:val="hybridMultilevel"/>
    <w:tmpl w:val="5422EDDC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4AC7FEC"/>
    <w:multiLevelType w:val="hybridMultilevel"/>
    <w:tmpl w:val="84C64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67E92"/>
    <w:multiLevelType w:val="hybridMultilevel"/>
    <w:tmpl w:val="454CD1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90204F"/>
    <w:multiLevelType w:val="hybridMultilevel"/>
    <w:tmpl w:val="4D48588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3E52ED"/>
    <w:multiLevelType w:val="hybridMultilevel"/>
    <w:tmpl w:val="4960669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A07B6D"/>
    <w:multiLevelType w:val="hybridMultilevel"/>
    <w:tmpl w:val="BE2C3A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350D4"/>
    <w:multiLevelType w:val="hybridMultilevel"/>
    <w:tmpl w:val="12080AE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F01ECD"/>
    <w:multiLevelType w:val="hybridMultilevel"/>
    <w:tmpl w:val="60ECB4F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A72224"/>
    <w:multiLevelType w:val="hybridMultilevel"/>
    <w:tmpl w:val="FE3A89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A20833"/>
    <w:multiLevelType w:val="hybridMultilevel"/>
    <w:tmpl w:val="591613F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094F50"/>
    <w:multiLevelType w:val="hybridMultilevel"/>
    <w:tmpl w:val="8E1EB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F2E38"/>
    <w:multiLevelType w:val="hybridMultilevel"/>
    <w:tmpl w:val="3800B8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8E5DE6"/>
    <w:multiLevelType w:val="hybridMultilevel"/>
    <w:tmpl w:val="1D80F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410DE"/>
    <w:multiLevelType w:val="hybridMultilevel"/>
    <w:tmpl w:val="0A78F0B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987140">
    <w:abstractNumId w:val="6"/>
  </w:num>
  <w:num w:numId="2" w16cid:durableId="114100134">
    <w:abstractNumId w:val="16"/>
  </w:num>
  <w:num w:numId="3" w16cid:durableId="2046059005">
    <w:abstractNumId w:val="32"/>
  </w:num>
  <w:num w:numId="4" w16cid:durableId="894663585">
    <w:abstractNumId w:val="12"/>
  </w:num>
  <w:num w:numId="5" w16cid:durableId="740829269">
    <w:abstractNumId w:val="34"/>
  </w:num>
  <w:num w:numId="6" w16cid:durableId="1648708648">
    <w:abstractNumId w:val="23"/>
  </w:num>
  <w:num w:numId="7" w16cid:durableId="818426038">
    <w:abstractNumId w:val="26"/>
  </w:num>
  <w:num w:numId="8" w16cid:durableId="1670670793">
    <w:abstractNumId w:val="22"/>
  </w:num>
  <w:num w:numId="9" w16cid:durableId="1637294390">
    <w:abstractNumId w:val="4"/>
  </w:num>
  <w:num w:numId="10" w16cid:durableId="164827330">
    <w:abstractNumId w:val="31"/>
  </w:num>
  <w:num w:numId="11" w16cid:durableId="1701473630">
    <w:abstractNumId w:val="14"/>
  </w:num>
  <w:num w:numId="12" w16cid:durableId="2070568673">
    <w:abstractNumId w:val="37"/>
  </w:num>
  <w:num w:numId="13" w16cid:durableId="441346789">
    <w:abstractNumId w:val="25"/>
  </w:num>
  <w:num w:numId="14" w16cid:durableId="544876244">
    <w:abstractNumId w:val="9"/>
  </w:num>
  <w:num w:numId="15" w16cid:durableId="2013023525">
    <w:abstractNumId w:val="13"/>
  </w:num>
  <w:num w:numId="16" w16cid:durableId="169376596">
    <w:abstractNumId w:val="3"/>
  </w:num>
  <w:num w:numId="17" w16cid:durableId="1698850443">
    <w:abstractNumId w:val="0"/>
  </w:num>
  <w:num w:numId="18" w16cid:durableId="944657331">
    <w:abstractNumId w:val="24"/>
  </w:num>
  <w:num w:numId="19" w16cid:durableId="277101170">
    <w:abstractNumId w:val="33"/>
  </w:num>
  <w:num w:numId="20" w16cid:durableId="1888831893">
    <w:abstractNumId w:val="29"/>
  </w:num>
  <w:num w:numId="21" w16cid:durableId="1754542352">
    <w:abstractNumId w:val="1"/>
  </w:num>
  <w:num w:numId="22" w16cid:durableId="1528716396">
    <w:abstractNumId w:val="15"/>
  </w:num>
  <w:num w:numId="23" w16cid:durableId="1409770262">
    <w:abstractNumId w:val="10"/>
  </w:num>
  <w:num w:numId="24" w16cid:durableId="533544904">
    <w:abstractNumId w:val="35"/>
  </w:num>
  <w:num w:numId="25" w16cid:durableId="357438386">
    <w:abstractNumId w:val="18"/>
  </w:num>
  <w:num w:numId="26" w16cid:durableId="313341451">
    <w:abstractNumId w:val="5"/>
  </w:num>
  <w:num w:numId="27" w16cid:durableId="142701675">
    <w:abstractNumId w:val="11"/>
  </w:num>
  <w:num w:numId="28" w16cid:durableId="547186805">
    <w:abstractNumId w:val="21"/>
  </w:num>
  <w:num w:numId="29" w16cid:durableId="1249731541">
    <w:abstractNumId w:val="30"/>
  </w:num>
  <w:num w:numId="30" w16cid:durableId="1484160070">
    <w:abstractNumId w:val="27"/>
  </w:num>
  <w:num w:numId="31" w16cid:durableId="1110784102">
    <w:abstractNumId w:val="2"/>
  </w:num>
  <w:num w:numId="32" w16cid:durableId="2110656607">
    <w:abstractNumId w:val="8"/>
  </w:num>
  <w:num w:numId="33" w16cid:durableId="1135106414">
    <w:abstractNumId w:val="20"/>
  </w:num>
  <w:num w:numId="34" w16cid:durableId="799030441">
    <w:abstractNumId w:val="28"/>
  </w:num>
  <w:num w:numId="35" w16cid:durableId="1691181072">
    <w:abstractNumId w:val="39"/>
  </w:num>
  <w:num w:numId="36" w16cid:durableId="494297734">
    <w:abstractNumId w:val="19"/>
  </w:num>
  <w:num w:numId="37" w16cid:durableId="323440958">
    <w:abstractNumId w:val="17"/>
  </w:num>
  <w:num w:numId="38" w16cid:durableId="2040692307">
    <w:abstractNumId w:val="36"/>
  </w:num>
  <w:num w:numId="39" w16cid:durableId="626356058">
    <w:abstractNumId w:val="7"/>
  </w:num>
  <w:num w:numId="40" w16cid:durableId="99884457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F4"/>
    <w:rsid w:val="0002108B"/>
    <w:rsid w:val="00026428"/>
    <w:rsid w:val="00035277"/>
    <w:rsid w:val="00046CD4"/>
    <w:rsid w:val="0005428C"/>
    <w:rsid w:val="000550DD"/>
    <w:rsid w:val="00071277"/>
    <w:rsid w:val="00075C47"/>
    <w:rsid w:val="00076CA7"/>
    <w:rsid w:val="00083D01"/>
    <w:rsid w:val="0009740B"/>
    <w:rsid w:val="000A0ABF"/>
    <w:rsid w:val="000A1D2C"/>
    <w:rsid w:val="000B10AE"/>
    <w:rsid w:val="000B4FF2"/>
    <w:rsid w:val="000C7D31"/>
    <w:rsid w:val="000D0380"/>
    <w:rsid w:val="000D1E3E"/>
    <w:rsid w:val="000D22B1"/>
    <w:rsid w:val="000E15C3"/>
    <w:rsid w:val="000E24BD"/>
    <w:rsid w:val="000E6336"/>
    <w:rsid w:val="000F21FA"/>
    <w:rsid w:val="00102D45"/>
    <w:rsid w:val="00110BFE"/>
    <w:rsid w:val="00110C82"/>
    <w:rsid w:val="00132B43"/>
    <w:rsid w:val="0013709C"/>
    <w:rsid w:val="00140E9E"/>
    <w:rsid w:val="00143241"/>
    <w:rsid w:val="0014454D"/>
    <w:rsid w:val="00162502"/>
    <w:rsid w:val="001629D3"/>
    <w:rsid w:val="001674CD"/>
    <w:rsid w:val="00170040"/>
    <w:rsid w:val="00172D79"/>
    <w:rsid w:val="001769DA"/>
    <w:rsid w:val="00176D55"/>
    <w:rsid w:val="00176F3B"/>
    <w:rsid w:val="00187FA0"/>
    <w:rsid w:val="001A041F"/>
    <w:rsid w:val="001A09FC"/>
    <w:rsid w:val="001A44DF"/>
    <w:rsid w:val="001B36D5"/>
    <w:rsid w:val="001B7E59"/>
    <w:rsid w:val="001C1236"/>
    <w:rsid w:val="001D2996"/>
    <w:rsid w:val="001E20AB"/>
    <w:rsid w:val="001E630D"/>
    <w:rsid w:val="001E7E48"/>
    <w:rsid w:val="00201AED"/>
    <w:rsid w:val="00201D4C"/>
    <w:rsid w:val="00203218"/>
    <w:rsid w:val="0021568B"/>
    <w:rsid w:val="00217389"/>
    <w:rsid w:val="00220E4D"/>
    <w:rsid w:val="00226353"/>
    <w:rsid w:val="002344D9"/>
    <w:rsid w:val="002347AB"/>
    <w:rsid w:val="002351C0"/>
    <w:rsid w:val="00242D30"/>
    <w:rsid w:val="00245938"/>
    <w:rsid w:val="002469A2"/>
    <w:rsid w:val="0025424C"/>
    <w:rsid w:val="0026232A"/>
    <w:rsid w:val="002665A9"/>
    <w:rsid w:val="002671EB"/>
    <w:rsid w:val="0027201D"/>
    <w:rsid w:val="00273D95"/>
    <w:rsid w:val="00286F26"/>
    <w:rsid w:val="002A15E1"/>
    <w:rsid w:val="002A16B3"/>
    <w:rsid w:val="002C19BB"/>
    <w:rsid w:val="002C33D7"/>
    <w:rsid w:val="002C57E9"/>
    <w:rsid w:val="002D2774"/>
    <w:rsid w:val="002D4158"/>
    <w:rsid w:val="002F4A6B"/>
    <w:rsid w:val="00303536"/>
    <w:rsid w:val="0030527C"/>
    <w:rsid w:val="00305586"/>
    <w:rsid w:val="00340A62"/>
    <w:rsid w:val="00341B98"/>
    <w:rsid w:val="00342E45"/>
    <w:rsid w:val="00351437"/>
    <w:rsid w:val="003523F0"/>
    <w:rsid w:val="00362359"/>
    <w:rsid w:val="00364E6E"/>
    <w:rsid w:val="00370926"/>
    <w:rsid w:val="00374DB4"/>
    <w:rsid w:val="00375845"/>
    <w:rsid w:val="003800FD"/>
    <w:rsid w:val="00381B56"/>
    <w:rsid w:val="003834F8"/>
    <w:rsid w:val="00384BA5"/>
    <w:rsid w:val="00390184"/>
    <w:rsid w:val="0039303E"/>
    <w:rsid w:val="00393E1D"/>
    <w:rsid w:val="00397313"/>
    <w:rsid w:val="003A42AD"/>
    <w:rsid w:val="003B1614"/>
    <w:rsid w:val="003B2BB8"/>
    <w:rsid w:val="003C0B5D"/>
    <w:rsid w:val="003D34FF"/>
    <w:rsid w:val="003D43A5"/>
    <w:rsid w:val="003E0475"/>
    <w:rsid w:val="003E0C0F"/>
    <w:rsid w:val="003E5FEF"/>
    <w:rsid w:val="003E7FBD"/>
    <w:rsid w:val="003F2129"/>
    <w:rsid w:val="003F2770"/>
    <w:rsid w:val="004107BF"/>
    <w:rsid w:val="0041286E"/>
    <w:rsid w:val="00413B98"/>
    <w:rsid w:val="00417509"/>
    <w:rsid w:val="00425EE5"/>
    <w:rsid w:val="00431A8B"/>
    <w:rsid w:val="00450559"/>
    <w:rsid w:val="00453CF2"/>
    <w:rsid w:val="00456644"/>
    <w:rsid w:val="00457430"/>
    <w:rsid w:val="00464B10"/>
    <w:rsid w:val="00476BDF"/>
    <w:rsid w:val="00485CEB"/>
    <w:rsid w:val="004A5BF1"/>
    <w:rsid w:val="004A7953"/>
    <w:rsid w:val="004B08ED"/>
    <w:rsid w:val="004B54CA"/>
    <w:rsid w:val="004C3D00"/>
    <w:rsid w:val="004C49BD"/>
    <w:rsid w:val="004C6CEB"/>
    <w:rsid w:val="004D06CD"/>
    <w:rsid w:val="004D58DE"/>
    <w:rsid w:val="004E07CF"/>
    <w:rsid w:val="004E3AF2"/>
    <w:rsid w:val="004E5CBF"/>
    <w:rsid w:val="004E6F25"/>
    <w:rsid w:val="004F008E"/>
    <w:rsid w:val="004F4643"/>
    <w:rsid w:val="005069F8"/>
    <w:rsid w:val="00513840"/>
    <w:rsid w:val="00515D9C"/>
    <w:rsid w:val="00530D74"/>
    <w:rsid w:val="00551709"/>
    <w:rsid w:val="005559EA"/>
    <w:rsid w:val="005570EA"/>
    <w:rsid w:val="00560E09"/>
    <w:rsid w:val="0056150D"/>
    <w:rsid w:val="0056409F"/>
    <w:rsid w:val="005677E4"/>
    <w:rsid w:val="00571F0A"/>
    <w:rsid w:val="00573610"/>
    <w:rsid w:val="0058007C"/>
    <w:rsid w:val="005879B1"/>
    <w:rsid w:val="005A0388"/>
    <w:rsid w:val="005A101F"/>
    <w:rsid w:val="005A2FEC"/>
    <w:rsid w:val="005A535A"/>
    <w:rsid w:val="005A6CA5"/>
    <w:rsid w:val="005B7B2F"/>
    <w:rsid w:val="005C3AA9"/>
    <w:rsid w:val="005C4AAA"/>
    <w:rsid w:val="005D0F22"/>
    <w:rsid w:val="005D4565"/>
    <w:rsid w:val="005D4E73"/>
    <w:rsid w:val="005E1735"/>
    <w:rsid w:val="005F7A7A"/>
    <w:rsid w:val="00600BEB"/>
    <w:rsid w:val="00606AD6"/>
    <w:rsid w:val="00607961"/>
    <w:rsid w:val="006143CC"/>
    <w:rsid w:val="0061698D"/>
    <w:rsid w:val="00616BBB"/>
    <w:rsid w:val="00623EB1"/>
    <w:rsid w:val="006262CE"/>
    <w:rsid w:val="00641BF8"/>
    <w:rsid w:val="0064437D"/>
    <w:rsid w:val="00646CC7"/>
    <w:rsid w:val="00647056"/>
    <w:rsid w:val="0066660D"/>
    <w:rsid w:val="00675391"/>
    <w:rsid w:val="006759A7"/>
    <w:rsid w:val="0068494F"/>
    <w:rsid w:val="00685186"/>
    <w:rsid w:val="00694A0F"/>
    <w:rsid w:val="00697BB7"/>
    <w:rsid w:val="006A05A3"/>
    <w:rsid w:val="006A4CE7"/>
    <w:rsid w:val="006A4D43"/>
    <w:rsid w:val="006B2114"/>
    <w:rsid w:val="006B51B4"/>
    <w:rsid w:val="006B52E1"/>
    <w:rsid w:val="006B5E15"/>
    <w:rsid w:val="006B6F31"/>
    <w:rsid w:val="006C12F3"/>
    <w:rsid w:val="006C137F"/>
    <w:rsid w:val="006C4F6B"/>
    <w:rsid w:val="006D0B3F"/>
    <w:rsid w:val="006D79F4"/>
    <w:rsid w:val="006E097F"/>
    <w:rsid w:val="006E0B3E"/>
    <w:rsid w:val="006F0CB4"/>
    <w:rsid w:val="006F31A4"/>
    <w:rsid w:val="006F5B33"/>
    <w:rsid w:val="006F7A3A"/>
    <w:rsid w:val="0070096C"/>
    <w:rsid w:val="007052B4"/>
    <w:rsid w:val="00710003"/>
    <w:rsid w:val="00717DB4"/>
    <w:rsid w:val="00747D75"/>
    <w:rsid w:val="00751466"/>
    <w:rsid w:val="00751523"/>
    <w:rsid w:val="0076163F"/>
    <w:rsid w:val="00763FBC"/>
    <w:rsid w:val="00776B15"/>
    <w:rsid w:val="00777948"/>
    <w:rsid w:val="00780DA1"/>
    <w:rsid w:val="0078288C"/>
    <w:rsid w:val="00784343"/>
    <w:rsid w:val="00785261"/>
    <w:rsid w:val="00793B10"/>
    <w:rsid w:val="00796E5F"/>
    <w:rsid w:val="007A2606"/>
    <w:rsid w:val="007A70D8"/>
    <w:rsid w:val="007B0256"/>
    <w:rsid w:val="007B4040"/>
    <w:rsid w:val="007C16B0"/>
    <w:rsid w:val="007D43A0"/>
    <w:rsid w:val="007D57F5"/>
    <w:rsid w:val="007E5E1D"/>
    <w:rsid w:val="007E7FF5"/>
    <w:rsid w:val="008018E0"/>
    <w:rsid w:val="00807A33"/>
    <w:rsid w:val="00813AD3"/>
    <w:rsid w:val="00814EC4"/>
    <w:rsid w:val="008242C2"/>
    <w:rsid w:val="0082538E"/>
    <w:rsid w:val="008336BA"/>
    <w:rsid w:val="00834868"/>
    <w:rsid w:val="00835850"/>
    <w:rsid w:val="008546B0"/>
    <w:rsid w:val="00854A6B"/>
    <w:rsid w:val="00862594"/>
    <w:rsid w:val="00865F6F"/>
    <w:rsid w:val="00874383"/>
    <w:rsid w:val="00877DDB"/>
    <w:rsid w:val="008809AB"/>
    <w:rsid w:val="00880A07"/>
    <w:rsid w:val="008901D4"/>
    <w:rsid w:val="00890FC6"/>
    <w:rsid w:val="008932DD"/>
    <w:rsid w:val="0089648E"/>
    <w:rsid w:val="00896CAC"/>
    <w:rsid w:val="008974E4"/>
    <w:rsid w:val="008A1EBA"/>
    <w:rsid w:val="008A4E14"/>
    <w:rsid w:val="008A4E96"/>
    <w:rsid w:val="008B68CD"/>
    <w:rsid w:val="008C1CCD"/>
    <w:rsid w:val="008C4F07"/>
    <w:rsid w:val="008D041C"/>
    <w:rsid w:val="008D1587"/>
    <w:rsid w:val="008D3EFD"/>
    <w:rsid w:val="008D7854"/>
    <w:rsid w:val="008E29D5"/>
    <w:rsid w:val="008F0F71"/>
    <w:rsid w:val="008F138C"/>
    <w:rsid w:val="008F2734"/>
    <w:rsid w:val="008F7BD2"/>
    <w:rsid w:val="00912983"/>
    <w:rsid w:val="0092185E"/>
    <w:rsid w:val="009225F0"/>
    <w:rsid w:val="0092749A"/>
    <w:rsid w:val="00941B34"/>
    <w:rsid w:val="00970ACB"/>
    <w:rsid w:val="00972394"/>
    <w:rsid w:val="0099566D"/>
    <w:rsid w:val="00997B71"/>
    <w:rsid w:val="009A0BD8"/>
    <w:rsid w:val="009A6CF5"/>
    <w:rsid w:val="009B6AC1"/>
    <w:rsid w:val="009C129E"/>
    <w:rsid w:val="009C419D"/>
    <w:rsid w:val="009C669B"/>
    <w:rsid w:val="009D5388"/>
    <w:rsid w:val="009D5CC3"/>
    <w:rsid w:val="009E66F2"/>
    <w:rsid w:val="009F0A23"/>
    <w:rsid w:val="009F2A6A"/>
    <w:rsid w:val="009F461C"/>
    <w:rsid w:val="00A03202"/>
    <w:rsid w:val="00A04423"/>
    <w:rsid w:val="00A1184E"/>
    <w:rsid w:val="00A1278C"/>
    <w:rsid w:val="00A223AB"/>
    <w:rsid w:val="00A2614D"/>
    <w:rsid w:val="00A31DB8"/>
    <w:rsid w:val="00A3665E"/>
    <w:rsid w:val="00A3797A"/>
    <w:rsid w:val="00A40F45"/>
    <w:rsid w:val="00A50316"/>
    <w:rsid w:val="00A5358C"/>
    <w:rsid w:val="00A54A22"/>
    <w:rsid w:val="00A57A14"/>
    <w:rsid w:val="00A62FAE"/>
    <w:rsid w:val="00A67ED1"/>
    <w:rsid w:val="00A77705"/>
    <w:rsid w:val="00A8069C"/>
    <w:rsid w:val="00A960AE"/>
    <w:rsid w:val="00AB2248"/>
    <w:rsid w:val="00AB424B"/>
    <w:rsid w:val="00AC680D"/>
    <w:rsid w:val="00AE1254"/>
    <w:rsid w:val="00AE56F9"/>
    <w:rsid w:val="00B065FD"/>
    <w:rsid w:val="00B10994"/>
    <w:rsid w:val="00B14564"/>
    <w:rsid w:val="00B210EE"/>
    <w:rsid w:val="00B23C5C"/>
    <w:rsid w:val="00B24606"/>
    <w:rsid w:val="00B25CAA"/>
    <w:rsid w:val="00B26B17"/>
    <w:rsid w:val="00B26ECC"/>
    <w:rsid w:val="00B317F6"/>
    <w:rsid w:val="00B3443F"/>
    <w:rsid w:val="00B42592"/>
    <w:rsid w:val="00B44B96"/>
    <w:rsid w:val="00B45F79"/>
    <w:rsid w:val="00B530CB"/>
    <w:rsid w:val="00B65259"/>
    <w:rsid w:val="00B65785"/>
    <w:rsid w:val="00B6654B"/>
    <w:rsid w:val="00B73262"/>
    <w:rsid w:val="00B74184"/>
    <w:rsid w:val="00B904AC"/>
    <w:rsid w:val="00B96B43"/>
    <w:rsid w:val="00BA2DB9"/>
    <w:rsid w:val="00BA4842"/>
    <w:rsid w:val="00BB6719"/>
    <w:rsid w:val="00BC2F0D"/>
    <w:rsid w:val="00BC4452"/>
    <w:rsid w:val="00BD4202"/>
    <w:rsid w:val="00BD7A38"/>
    <w:rsid w:val="00BE0FE0"/>
    <w:rsid w:val="00BE11DE"/>
    <w:rsid w:val="00BE5325"/>
    <w:rsid w:val="00BE7148"/>
    <w:rsid w:val="00BE7613"/>
    <w:rsid w:val="00BF05CA"/>
    <w:rsid w:val="00BF1EE7"/>
    <w:rsid w:val="00BF6BAE"/>
    <w:rsid w:val="00C01311"/>
    <w:rsid w:val="00C01B81"/>
    <w:rsid w:val="00C0323D"/>
    <w:rsid w:val="00C04314"/>
    <w:rsid w:val="00C10B13"/>
    <w:rsid w:val="00C14021"/>
    <w:rsid w:val="00C17026"/>
    <w:rsid w:val="00C229EF"/>
    <w:rsid w:val="00C33EB5"/>
    <w:rsid w:val="00C46F4D"/>
    <w:rsid w:val="00C530E0"/>
    <w:rsid w:val="00C64515"/>
    <w:rsid w:val="00C6501C"/>
    <w:rsid w:val="00C70138"/>
    <w:rsid w:val="00C818EB"/>
    <w:rsid w:val="00C91393"/>
    <w:rsid w:val="00C9590C"/>
    <w:rsid w:val="00CA6283"/>
    <w:rsid w:val="00CB0386"/>
    <w:rsid w:val="00CC05F9"/>
    <w:rsid w:val="00CC2A19"/>
    <w:rsid w:val="00CC52A2"/>
    <w:rsid w:val="00CD49E3"/>
    <w:rsid w:val="00CD504D"/>
    <w:rsid w:val="00CE03DA"/>
    <w:rsid w:val="00CE1B7E"/>
    <w:rsid w:val="00CE30F7"/>
    <w:rsid w:val="00CE388F"/>
    <w:rsid w:val="00CF7CCC"/>
    <w:rsid w:val="00D0239E"/>
    <w:rsid w:val="00D046C4"/>
    <w:rsid w:val="00D107F4"/>
    <w:rsid w:val="00D10AC2"/>
    <w:rsid w:val="00D13F43"/>
    <w:rsid w:val="00D177D9"/>
    <w:rsid w:val="00D2550C"/>
    <w:rsid w:val="00D266FA"/>
    <w:rsid w:val="00D30311"/>
    <w:rsid w:val="00D33CC4"/>
    <w:rsid w:val="00D6487A"/>
    <w:rsid w:val="00D74F2A"/>
    <w:rsid w:val="00D759C0"/>
    <w:rsid w:val="00D81484"/>
    <w:rsid w:val="00D81BF0"/>
    <w:rsid w:val="00D87703"/>
    <w:rsid w:val="00D904D3"/>
    <w:rsid w:val="00D93628"/>
    <w:rsid w:val="00D9489A"/>
    <w:rsid w:val="00D974C8"/>
    <w:rsid w:val="00D97C0A"/>
    <w:rsid w:val="00DA114F"/>
    <w:rsid w:val="00DA2398"/>
    <w:rsid w:val="00DA3E20"/>
    <w:rsid w:val="00DB000D"/>
    <w:rsid w:val="00DB37E0"/>
    <w:rsid w:val="00DB63A4"/>
    <w:rsid w:val="00DB6783"/>
    <w:rsid w:val="00DB7113"/>
    <w:rsid w:val="00DE1F76"/>
    <w:rsid w:val="00DF4AE1"/>
    <w:rsid w:val="00E10961"/>
    <w:rsid w:val="00E1509E"/>
    <w:rsid w:val="00E222C4"/>
    <w:rsid w:val="00E265FF"/>
    <w:rsid w:val="00E415F7"/>
    <w:rsid w:val="00E42212"/>
    <w:rsid w:val="00E62795"/>
    <w:rsid w:val="00E66A46"/>
    <w:rsid w:val="00E70C5C"/>
    <w:rsid w:val="00E7659C"/>
    <w:rsid w:val="00E83753"/>
    <w:rsid w:val="00E90F44"/>
    <w:rsid w:val="00E9254E"/>
    <w:rsid w:val="00E929E0"/>
    <w:rsid w:val="00E97954"/>
    <w:rsid w:val="00EA4034"/>
    <w:rsid w:val="00EB55BA"/>
    <w:rsid w:val="00EC1808"/>
    <w:rsid w:val="00EC1FE7"/>
    <w:rsid w:val="00ED17CB"/>
    <w:rsid w:val="00ED3DFA"/>
    <w:rsid w:val="00ED40C3"/>
    <w:rsid w:val="00ED56CB"/>
    <w:rsid w:val="00EE7D00"/>
    <w:rsid w:val="00EF1741"/>
    <w:rsid w:val="00EF19DA"/>
    <w:rsid w:val="00EF25BC"/>
    <w:rsid w:val="00EF2FAD"/>
    <w:rsid w:val="00F0423C"/>
    <w:rsid w:val="00F10434"/>
    <w:rsid w:val="00F11886"/>
    <w:rsid w:val="00F16C3C"/>
    <w:rsid w:val="00F25548"/>
    <w:rsid w:val="00F31671"/>
    <w:rsid w:val="00F33580"/>
    <w:rsid w:val="00F35E47"/>
    <w:rsid w:val="00F367D5"/>
    <w:rsid w:val="00F44DBF"/>
    <w:rsid w:val="00F72347"/>
    <w:rsid w:val="00F7480C"/>
    <w:rsid w:val="00F76CD7"/>
    <w:rsid w:val="00F77894"/>
    <w:rsid w:val="00F85236"/>
    <w:rsid w:val="00F86C90"/>
    <w:rsid w:val="00F87D76"/>
    <w:rsid w:val="00F93A15"/>
    <w:rsid w:val="00F97385"/>
    <w:rsid w:val="00F97812"/>
    <w:rsid w:val="00F97887"/>
    <w:rsid w:val="00FA3588"/>
    <w:rsid w:val="00FA42AA"/>
    <w:rsid w:val="00FB250F"/>
    <w:rsid w:val="00FC4B70"/>
    <w:rsid w:val="00FD0A03"/>
    <w:rsid w:val="00FD1E95"/>
    <w:rsid w:val="00FD74ED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C1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8ED"/>
    <w:pPr>
      <w:suppressAutoHyphens/>
      <w:spacing w:before="120" w:after="6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808"/>
    <w:pPr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1808"/>
    <w:rPr>
      <w:rFonts w:ascii="Arial" w:hAnsi="Arial" w:cs="Arial"/>
      <w:b/>
      <w:bCs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table" w:styleId="TableGrid">
    <w:name w:val="Table Grid"/>
    <w:basedOn w:val="TableNormal"/>
    <w:uiPriority w:val="59"/>
    <w:rsid w:val="006D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6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F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46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F4D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F7BD2"/>
    <w:rPr>
      <w:color w:val="04617B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CCC"/>
    <w:rPr>
      <w:color w:val="04617B" w:themeColor="followedHyperlink"/>
      <w:u w:val="single"/>
    </w:rPr>
  </w:style>
  <w:style w:type="paragraph" w:customStyle="1" w:styleId="NormalIndented">
    <w:name w:val="Normal Indented"/>
    <w:basedOn w:val="Normal"/>
    <w:qFormat/>
    <w:rsid w:val="002C19BB"/>
    <w:pPr>
      <w:ind w:left="284"/>
    </w:pPr>
  </w:style>
  <w:style w:type="paragraph" w:customStyle="1" w:styleId="Default">
    <w:name w:val="Default"/>
    <w:rsid w:val="00ED3DF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9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9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97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40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277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.dss.gov.au/policy" TargetMode="External"/><Relationship Id="rId13" Type="http://schemas.openxmlformats.org/officeDocument/2006/relationships/hyperlink" Target="https://dex.dss.gov.au/poli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x.dss.gov.a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sdataexchange.helpdesk@ds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x.dss.gov.au/document/1911" TargetMode="External"/><Relationship Id="rId10" Type="http://schemas.openxmlformats.org/officeDocument/2006/relationships/hyperlink" Target="https://dex.dss.gov.a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x.dss.gov.au/data-exchange-protocols" TargetMode="External"/><Relationship Id="rId14" Type="http://schemas.openxmlformats.org/officeDocument/2006/relationships/hyperlink" Target="https://dex.dss.gov.au/document/1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4617B"/>
      </a:accent1>
      <a:accent2>
        <a:srgbClr val="04617B"/>
      </a:accent2>
      <a:accent3>
        <a:srgbClr val="04617B"/>
      </a:accent3>
      <a:accent4>
        <a:srgbClr val="04617B"/>
      </a:accent4>
      <a:accent5>
        <a:srgbClr val="04617B"/>
      </a:accent5>
      <a:accent6>
        <a:srgbClr val="04617B"/>
      </a:accent6>
      <a:hlink>
        <a:srgbClr val="04617B"/>
      </a:hlink>
      <a:folHlink>
        <a:srgbClr val="04617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0F6F-95D4-4194-AEC5-A4C18B73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2244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Data Exchange (DEX) reporting requirements for Department of Social Services programs – Frequently Asked Questions</dc:title>
  <dc:creator/>
  <cp:keywords>[SEC=OFFICIAL]</cp:keywords>
  <cp:lastModifiedBy/>
  <cp:revision>1</cp:revision>
  <dcterms:created xsi:type="dcterms:W3CDTF">2025-12-18T05:03:00Z</dcterms:created>
  <dcterms:modified xsi:type="dcterms:W3CDTF">2025-12-18T05:04:00Z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AE656FE6C29B48DBA519A59AC72FD298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EF3B9B4EBA12F846AE32F1483CEE000D35A0C8C5</vt:lpwstr>
  </property>
  <property fmtid="{D5CDD505-2E9C-101B-9397-08002B2CF9AE}" pid="10" name="PM_OriginationTimeStamp">
    <vt:lpwstr>2023-03-27T23:43:13Z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2023-03-27T23:43:13Z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A4ED61AA1C9F82FDA3C73D1E4AE72BE3</vt:lpwstr>
  </property>
  <property fmtid="{D5CDD505-2E9C-101B-9397-08002B2CF9AE}" pid="19" name="PM_Hash_Salt">
    <vt:lpwstr>6D38F2F9D35095538121DBB41FA10843</vt:lpwstr>
  </property>
  <property fmtid="{D5CDD505-2E9C-101B-9397-08002B2CF9AE}" pid="20" name="PM_Hash_SHA1">
    <vt:lpwstr>C3DF283F88C219B9BA16D03C51DF85D90433EA3A</vt:lpwstr>
  </property>
  <property fmtid="{D5CDD505-2E9C-101B-9397-08002B2CF9AE}" pid="21" name="PM_OriginatorUserAccountName_SHA256">
    <vt:lpwstr>52B97822998D45A5FE76FBF575035034760AD13EE13D3825DB38D567D3AEDC5E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4e9591ef939242a9a687aa6b4c1477d7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v=2024.1;a=SHA256;h=CFF29952FDA08D560CDC2C6EE23FABFC158780E3346C73BBC0A61991E984DEFD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