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60DFE" w14:textId="1B7F3FA2" w:rsidR="00F12FFE" w:rsidRDefault="00CD2E5F" w:rsidP="00856F8A">
      <w:pPr>
        <w:pStyle w:val="Heading1"/>
        <w:spacing w:after="240"/>
        <w:jc w:val="center"/>
        <w:rPr>
          <w:rFonts w:ascii="Georgia" w:hAnsi="Georgia"/>
          <w:color w:val="005A70"/>
          <w:sz w:val="48"/>
          <w:szCs w:val="48"/>
          <w:lang w:val="en-US"/>
        </w:rPr>
      </w:pPr>
      <w:bookmarkStart w:id="0" w:name="_GoBack"/>
      <w:bookmarkEnd w:id="0"/>
      <w:r>
        <w:rPr>
          <w:rFonts w:ascii="Georgia" w:hAnsi="Georgia"/>
          <w:color w:val="005A70"/>
          <w:sz w:val="48"/>
          <w:szCs w:val="48"/>
          <w:lang w:val="en-US"/>
        </w:rPr>
        <w:t>Gender Values</w:t>
      </w:r>
      <w:r w:rsidR="00854829">
        <w:rPr>
          <w:rFonts w:ascii="Georgia" w:hAnsi="Georgia"/>
          <w:color w:val="005A70"/>
          <w:sz w:val="48"/>
          <w:szCs w:val="48"/>
          <w:lang w:val="en-US"/>
        </w:rPr>
        <w:t xml:space="preserve"> </w:t>
      </w:r>
      <w:r w:rsidR="00305579">
        <w:rPr>
          <w:rFonts w:ascii="Georgia" w:hAnsi="Georgia"/>
          <w:color w:val="005A70"/>
          <w:sz w:val="48"/>
          <w:szCs w:val="48"/>
          <w:lang w:val="en-US"/>
        </w:rPr>
        <w:t>in the Data Exchange</w:t>
      </w:r>
      <w:r w:rsidR="00031ABA">
        <w:rPr>
          <w:rFonts w:ascii="Georgia" w:hAnsi="Georgia"/>
          <w:color w:val="005A70"/>
          <w:sz w:val="40"/>
          <w:szCs w:val="48"/>
          <w:lang w:val="en-US"/>
        </w:rPr>
        <w:br/>
      </w:r>
      <w:r w:rsidR="00031ABA" w:rsidRPr="00973E68">
        <w:rPr>
          <w:rFonts w:ascii="Georgia" w:hAnsi="Georgia"/>
          <w:color w:val="005A70"/>
          <w:sz w:val="40"/>
          <w:szCs w:val="48"/>
          <w:lang w:val="en-US"/>
        </w:rPr>
        <w:t>Fact S</w:t>
      </w:r>
      <w:r w:rsidR="00F12FFE" w:rsidRPr="00973E68">
        <w:rPr>
          <w:rFonts w:ascii="Georgia" w:hAnsi="Georgia"/>
          <w:color w:val="005A70"/>
          <w:sz w:val="40"/>
          <w:szCs w:val="48"/>
          <w:lang w:val="en-US"/>
        </w:rPr>
        <w:t>heet</w:t>
      </w:r>
    </w:p>
    <w:p w14:paraId="052B6BC7" w14:textId="2BE4E3A9" w:rsidR="00305579" w:rsidRDefault="00305579" w:rsidP="00E03F47">
      <w:pPr>
        <w:spacing w:after="120"/>
        <w:jc w:val="both"/>
        <w:rPr>
          <w:rFonts w:ascii="Arial" w:hAnsi="Arial" w:cs="Arial"/>
        </w:rPr>
      </w:pPr>
    </w:p>
    <w:p w14:paraId="7D2B1B31" w14:textId="77777777" w:rsidR="00305579" w:rsidRPr="00305579" w:rsidRDefault="00305579" w:rsidP="004A4011">
      <w:pPr>
        <w:spacing w:after="240"/>
        <w:jc w:val="both"/>
        <w:rPr>
          <w:rFonts w:ascii="Arial" w:hAnsi="Arial" w:cs="Arial"/>
        </w:rPr>
      </w:pPr>
      <w:r w:rsidRPr="00305579">
        <w:rPr>
          <w:rFonts w:ascii="Arial" w:hAnsi="Arial" w:cs="Arial"/>
        </w:rPr>
        <w:t>A client’s gender is collected in the Data Exchange because it forms part of the Statistical Linkage Key (SLK) and provides important demographic information about the clients who are receiving services.</w:t>
      </w:r>
    </w:p>
    <w:p w14:paraId="06FE9C98" w14:textId="0B129B12" w:rsidR="00305579" w:rsidRDefault="00305579" w:rsidP="004A4011">
      <w:pPr>
        <w:spacing w:after="240"/>
        <w:jc w:val="both"/>
        <w:rPr>
          <w:rFonts w:ascii="Arial" w:hAnsi="Arial" w:cs="Arial"/>
        </w:rPr>
      </w:pPr>
      <w:r w:rsidRPr="00305579">
        <w:rPr>
          <w:rFonts w:ascii="Arial" w:hAnsi="Arial" w:cs="Arial"/>
        </w:rPr>
        <w:t>The gender value recorded is based upon how the client self-identifies. Gender is different to</w:t>
      </w:r>
      <w:r w:rsidR="0075587F">
        <w:rPr>
          <w:rFonts w:ascii="Arial" w:hAnsi="Arial" w:cs="Arial"/>
        </w:rPr>
        <w:t> </w:t>
      </w:r>
      <w:r w:rsidRPr="00305579">
        <w:rPr>
          <w:rFonts w:ascii="Arial" w:hAnsi="Arial" w:cs="Arial"/>
        </w:rPr>
        <w:t>sexuality and sexual orientation, which are not recorded in the Data Exchange</w:t>
      </w:r>
      <w:r>
        <w:rPr>
          <w:rFonts w:ascii="Arial" w:hAnsi="Arial" w:cs="Arial"/>
        </w:rPr>
        <w:t>.</w:t>
      </w:r>
    </w:p>
    <w:p w14:paraId="0A927D7F" w14:textId="77777777" w:rsidR="00305579" w:rsidRPr="00305579" w:rsidRDefault="00305579" w:rsidP="004A4011">
      <w:pPr>
        <w:spacing w:after="240"/>
        <w:jc w:val="both"/>
        <w:rPr>
          <w:rFonts w:ascii="Arial" w:hAnsi="Arial" w:cs="Arial"/>
        </w:rPr>
      </w:pPr>
      <w:r w:rsidRPr="00305579">
        <w:rPr>
          <w:rFonts w:ascii="Arial" w:hAnsi="Arial" w:cs="Arial"/>
        </w:rPr>
        <w:t xml:space="preserve">The Data Exchange de-identifies client data using Statistical Linkage Keys (SLK), an algorithm developed by the Australian Institute of Health and Welfare (AIHW). The SLK is a method that allows DSS to link clients with the service they received through a unique key, enabling two or more records belonging to the same individual to be linked. </w:t>
      </w:r>
    </w:p>
    <w:p w14:paraId="365789DA" w14:textId="35115CB5" w:rsidR="004A4011" w:rsidRDefault="00305579" w:rsidP="004A4011">
      <w:pPr>
        <w:spacing w:after="240"/>
        <w:jc w:val="both"/>
        <w:rPr>
          <w:rFonts w:ascii="Arial" w:hAnsi="Arial" w:cs="Arial"/>
        </w:rPr>
      </w:pPr>
      <w:r w:rsidRPr="00305579">
        <w:rPr>
          <w:rFonts w:ascii="Arial" w:hAnsi="Arial" w:cs="Arial"/>
        </w:rPr>
        <w:t>The SLK algorithm creates a code consisting of the second, third and fifth characters of</w:t>
      </w:r>
      <w:r w:rsidR="0075587F">
        <w:rPr>
          <w:rFonts w:ascii="Arial" w:hAnsi="Arial" w:cs="Arial"/>
        </w:rPr>
        <w:t> </w:t>
      </w:r>
      <w:r w:rsidRPr="00305579">
        <w:rPr>
          <w:rFonts w:ascii="Arial" w:hAnsi="Arial" w:cs="Arial"/>
        </w:rPr>
        <w:t>a</w:t>
      </w:r>
      <w:r w:rsidR="0075587F">
        <w:rPr>
          <w:rFonts w:ascii="Arial" w:hAnsi="Arial" w:cs="Arial"/>
        </w:rPr>
        <w:t> </w:t>
      </w:r>
      <w:r w:rsidRPr="00305579">
        <w:rPr>
          <w:rFonts w:ascii="Arial" w:hAnsi="Arial" w:cs="Arial"/>
        </w:rPr>
        <w:t>person’s family name, the second and third letters of the person’s given name, the day, month and year of the person’s date of birth and the gender of that person. For example, John</w:t>
      </w:r>
      <w:r w:rsidR="0075587F">
        <w:rPr>
          <w:rFonts w:ascii="Arial" w:hAnsi="Arial" w:cs="Arial"/>
        </w:rPr>
        <w:t> </w:t>
      </w:r>
      <w:r w:rsidRPr="00305579">
        <w:rPr>
          <w:rFonts w:ascii="Arial" w:hAnsi="Arial" w:cs="Arial"/>
        </w:rPr>
        <w:t xml:space="preserve">Smith, a male born on 14th February 1971 has an SLK of: </w:t>
      </w:r>
      <w:r w:rsidRPr="00305579">
        <w:rPr>
          <w:rFonts w:ascii="Arial" w:hAnsi="Arial" w:cs="Arial"/>
          <w:b/>
        </w:rPr>
        <w:t>MIHOH140219711</w:t>
      </w:r>
      <w:r w:rsidR="004A4011" w:rsidRPr="004A4011">
        <w:rPr>
          <w:rFonts w:ascii="Arial" w:hAnsi="Arial" w:cs="Arial"/>
        </w:rPr>
        <w:t xml:space="preserve"> </w:t>
      </w:r>
    </w:p>
    <w:p w14:paraId="700CF071" w14:textId="41406D5A" w:rsidR="004A4011" w:rsidRPr="004A4011" w:rsidRDefault="00B0499C" w:rsidP="004A4011">
      <w:pPr>
        <w:spacing w:after="240"/>
        <w:rPr>
          <w:rFonts w:ascii="Arial" w:hAnsi="Arial" w:cs="Arial"/>
        </w:rPr>
      </w:pPr>
      <w:r>
        <w:rPr>
          <w:rFonts w:ascii="Arial" w:hAnsi="Arial" w:cs="Arial"/>
        </w:rPr>
        <w:t>Historically</w:t>
      </w:r>
      <w:r w:rsidR="004A4011" w:rsidRPr="004A4011">
        <w:rPr>
          <w:rFonts w:ascii="Arial" w:hAnsi="Arial" w:cs="Arial"/>
        </w:rPr>
        <w:t xml:space="preserve"> the Data Exchange has used standard data definitions for gender developed by</w:t>
      </w:r>
      <w:r w:rsidR="00415F57">
        <w:rPr>
          <w:rFonts w:ascii="Arial" w:hAnsi="Arial" w:cs="Arial"/>
        </w:rPr>
        <w:t> </w:t>
      </w:r>
      <w:r w:rsidR="004A4011" w:rsidRPr="004A4011">
        <w:rPr>
          <w:rFonts w:ascii="Arial" w:hAnsi="Arial" w:cs="Arial"/>
        </w:rPr>
        <w:t xml:space="preserve">the Australian Institute of Health and Welfare (AIHW), with four options: </w:t>
      </w:r>
    </w:p>
    <w:p w14:paraId="3B711CEE" w14:textId="77777777" w:rsidR="004A4011" w:rsidRPr="004A4011" w:rsidRDefault="004A4011" w:rsidP="004A4011">
      <w:pPr>
        <w:pStyle w:val="ListParagraph"/>
        <w:numPr>
          <w:ilvl w:val="0"/>
          <w:numId w:val="28"/>
        </w:numPr>
        <w:rPr>
          <w:rFonts w:ascii="Arial" w:hAnsi="Arial" w:cs="Arial"/>
        </w:rPr>
      </w:pPr>
      <w:r w:rsidRPr="004A4011">
        <w:rPr>
          <w:rFonts w:ascii="Arial" w:hAnsi="Arial" w:cs="Arial"/>
        </w:rPr>
        <w:t xml:space="preserve">Male </w:t>
      </w:r>
    </w:p>
    <w:p w14:paraId="7D6FB64A" w14:textId="77777777" w:rsidR="004A4011" w:rsidRPr="004A4011" w:rsidRDefault="004A4011" w:rsidP="004A4011">
      <w:pPr>
        <w:pStyle w:val="ListParagraph"/>
        <w:numPr>
          <w:ilvl w:val="0"/>
          <w:numId w:val="28"/>
        </w:numPr>
        <w:rPr>
          <w:rFonts w:ascii="Arial" w:hAnsi="Arial" w:cs="Arial"/>
        </w:rPr>
      </w:pPr>
      <w:r w:rsidRPr="004A4011">
        <w:rPr>
          <w:rFonts w:ascii="Arial" w:hAnsi="Arial" w:cs="Arial"/>
        </w:rPr>
        <w:t xml:space="preserve">Female </w:t>
      </w:r>
    </w:p>
    <w:p w14:paraId="41B1414C" w14:textId="77777777" w:rsidR="004A4011" w:rsidRPr="004A4011" w:rsidRDefault="004A4011" w:rsidP="004A4011">
      <w:pPr>
        <w:pStyle w:val="ListParagraph"/>
        <w:numPr>
          <w:ilvl w:val="0"/>
          <w:numId w:val="28"/>
        </w:numPr>
        <w:rPr>
          <w:rFonts w:ascii="Arial" w:hAnsi="Arial" w:cs="Arial"/>
        </w:rPr>
      </w:pPr>
      <w:r w:rsidRPr="004A4011">
        <w:rPr>
          <w:rFonts w:ascii="Arial" w:hAnsi="Arial" w:cs="Arial"/>
        </w:rPr>
        <w:t xml:space="preserve">Intersex/indeterminate </w:t>
      </w:r>
    </w:p>
    <w:p w14:paraId="4822E9BC" w14:textId="77777777" w:rsidR="004A4011" w:rsidRPr="004A4011" w:rsidRDefault="004A4011" w:rsidP="0075587F">
      <w:pPr>
        <w:pStyle w:val="ListParagraph"/>
        <w:numPr>
          <w:ilvl w:val="0"/>
          <w:numId w:val="28"/>
        </w:numPr>
        <w:spacing w:after="240"/>
        <w:rPr>
          <w:rFonts w:ascii="Arial" w:hAnsi="Arial" w:cs="Arial"/>
        </w:rPr>
      </w:pPr>
      <w:r w:rsidRPr="004A4011">
        <w:rPr>
          <w:rFonts w:ascii="Arial" w:hAnsi="Arial" w:cs="Arial"/>
        </w:rPr>
        <w:t xml:space="preserve">Not stated or inadequately described </w:t>
      </w:r>
    </w:p>
    <w:p w14:paraId="48496ABC" w14:textId="559031C4" w:rsidR="00716652" w:rsidRDefault="009452E7" w:rsidP="0075587F">
      <w:pPr>
        <w:spacing w:after="240"/>
        <w:jc w:val="both"/>
        <w:rPr>
          <w:rFonts w:ascii="Arial" w:hAnsi="Arial" w:cs="Arial"/>
        </w:rPr>
      </w:pPr>
      <w:r>
        <w:rPr>
          <w:rFonts w:ascii="Arial" w:hAnsi="Arial" w:cs="Arial"/>
        </w:rPr>
        <w:t>From</w:t>
      </w:r>
      <w:r w:rsidR="00BF4F16">
        <w:rPr>
          <w:rFonts w:ascii="Arial" w:hAnsi="Arial" w:cs="Arial"/>
        </w:rPr>
        <w:t xml:space="preserve"> February</w:t>
      </w:r>
      <w:r>
        <w:rPr>
          <w:rFonts w:ascii="Arial" w:hAnsi="Arial" w:cs="Arial"/>
        </w:rPr>
        <w:t>/March</w:t>
      </w:r>
      <w:r w:rsidR="00BF4F16">
        <w:rPr>
          <w:rFonts w:ascii="Arial" w:hAnsi="Arial" w:cs="Arial"/>
        </w:rPr>
        <w:t xml:space="preserve"> 2024</w:t>
      </w:r>
      <w:r w:rsidR="00913824">
        <w:rPr>
          <w:rFonts w:ascii="Arial" w:hAnsi="Arial" w:cs="Arial"/>
        </w:rPr>
        <w:t>,</w:t>
      </w:r>
      <w:r w:rsidR="00716652">
        <w:rPr>
          <w:rFonts w:ascii="Arial" w:hAnsi="Arial" w:cs="Arial"/>
        </w:rPr>
        <w:t xml:space="preserve"> </w:t>
      </w:r>
      <w:r w:rsidR="00716652" w:rsidRPr="004A4011">
        <w:rPr>
          <w:rFonts w:ascii="Arial" w:hAnsi="Arial" w:cs="Arial"/>
        </w:rPr>
        <w:t xml:space="preserve">‘Intersex/indeterminate’ </w:t>
      </w:r>
      <w:r w:rsidR="00716652">
        <w:rPr>
          <w:rFonts w:ascii="Arial" w:hAnsi="Arial" w:cs="Arial"/>
        </w:rPr>
        <w:t>as a gender value will be retired from the Data Exchange</w:t>
      </w:r>
      <w:r w:rsidR="0075587F">
        <w:rPr>
          <w:rFonts w:ascii="Arial" w:hAnsi="Arial" w:cs="Arial"/>
        </w:rPr>
        <w:t>.</w:t>
      </w:r>
      <w:r w:rsidR="00716652">
        <w:rPr>
          <w:rFonts w:ascii="Arial" w:hAnsi="Arial" w:cs="Arial"/>
        </w:rPr>
        <w:t xml:space="preserve"> </w:t>
      </w:r>
      <w:r w:rsidR="0075587F">
        <w:rPr>
          <w:rFonts w:ascii="Arial" w:hAnsi="Arial" w:cs="Arial"/>
        </w:rPr>
        <w:t>I</w:t>
      </w:r>
      <w:r w:rsidR="00716652">
        <w:rPr>
          <w:rFonts w:ascii="Arial" w:hAnsi="Arial" w:cs="Arial"/>
        </w:rPr>
        <w:t>nstead the values that will be captured into the Data Exchange will be:</w:t>
      </w:r>
    </w:p>
    <w:p w14:paraId="7E06913A" w14:textId="17D20F1C" w:rsidR="00716652" w:rsidRPr="00716652" w:rsidRDefault="007120FD" w:rsidP="00716652">
      <w:pPr>
        <w:pStyle w:val="ListParagraph"/>
        <w:numPr>
          <w:ilvl w:val="0"/>
          <w:numId w:val="28"/>
        </w:numPr>
        <w:rPr>
          <w:rFonts w:ascii="Arial" w:hAnsi="Arial" w:cs="Arial"/>
        </w:rPr>
      </w:pPr>
      <w:r>
        <w:rPr>
          <w:rFonts w:ascii="Arial" w:hAnsi="Arial" w:cs="Arial"/>
        </w:rPr>
        <w:t>Man or m</w:t>
      </w:r>
      <w:r w:rsidR="00716652" w:rsidRPr="00716652">
        <w:rPr>
          <w:rFonts w:ascii="Arial" w:hAnsi="Arial" w:cs="Arial"/>
        </w:rPr>
        <w:t>ale</w:t>
      </w:r>
    </w:p>
    <w:p w14:paraId="5CFE5342" w14:textId="709A7604" w:rsidR="00716652" w:rsidRPr="00716652" w:rsidRDefault="007120FD" w:rsidP="00716652">
      <w:pPr>
        <w:pStyle w:val="ListParagraph"/>
        <w:numPr>
          <w:ilvl w:val="0"/>
          <w:numId w:val="28"/>
        </w:numPr>
        <w:rPr>
          <w:rFonts w:ascii="Arial" w:hAnsi="Arial" w:cs="Arial"/>
        </w:rPr>
      </w:pPr>
      <w:r>
        <w:rPr>
          <w:rFonts w:ascii="Arial" w:hAnsi="Arial" w:cs="Arial"/>
        </w:rPr>
        <w:t>Woman or f</w:t>
      </w:r>
      <w:r w:rsidR="00716652" w:rsidRPr="00716652">
        <w:rPr>
          <w:rFonts w:ascii="Arial" w:hAnsi="Arial" w:cs="Arial"/>
        </w:rPr>
        <w:t>emale</w:t>
      </w:r>
    </w:p>
    <w:p w14:paraId="23CCE81D" w14:textId="77777777" w:rsidR="00716652" w:rsidRPr="00716652" w:rsidRDefault="00716652" w:rsidP="00716652">
      <w:pPr>
        <w:pStyle w:val="ListParagraph"/>
        <w:numPr>
          <w:ilvl w:val="0"/>
          <w:numId w:val="28"/>
        </w:numPr>
        <w:rPr>
          <w:rFonts w:ascii="Arial" w:hAnsi="Arial" w:cs="Arial"/>
        </w:rPr>
      </w:pPr>
      <w:r w:rsidRPr="00716652">
        <w:rPr>
          <w:rFonts w:ascii="Arial" w:hAnsi="Arial" w:cs="Arial"/>
        </w:rPr>
        <w:t>Non-binary</w:t>
      </w:r>
    </w:p>
    <w:p w14:paraId="06F171E9" w14:textId="7022DA7F" w:rsidR="00716652" w:rsidRPr="00716652" w:rsidRDefault="007120FD" w:rsidP="007120FD">
      <w:pPr>
        <w:pStyle w:val="ListParagraph"/>
        <w:numPr>
          <w:ilvl w:val="0"/>
          <w:numId w:val="28"/>
        </w:numPr>
        <w:rPr>
          <w:rFonts w:ascii="Arial" w:hAnsi="Arial" w:cs="Arial"/>
        </w:rPr>
      </w:pPr>
      <w:r w:rsidRPr="007120FD">
        <w:rPr>
          <w:rFonts w:ascii="Arial" w:hAnsi="Arial" w:cs="Arial"/>
        </w:rPr>
        <w:t>[I/They] use a different term</w:t>
      </w:r>
      <w:r w:rsidR="00913824">
        <w:rPr>
          <w:rFonts w:ascii="Arial" w:hAnsi="Arial" w:cs="Arial"/>
        </w:rPr>
        <w:t xml:space="preserve"> </w:t>
      </w:r>
    </w:p>
    <w:p w14:paraId="6DF93D4A" w14:textId="04253626" w:rsidR="00716652" w:rsidRDefault="00716652" w:rsidP="0075587F">
      <w:pPr>
        <w:pStyle w:val="ListParagraph"/>
        <w:numPr>
          <w:ilvl w:val="0"/>
          <w:numId w:val="28"/>
        </w:numPr>
        <w:spacing w:after="240"/>
        <w:rPr>
          <w:rFonts w:ascii="Arial" w:hAnsi="Arial" w:cs="Arial"/>
        </w:rPr>
      </w:pPr>
      <w:r w:rsidRPr="00716652">
        <w:rPr>
          <w:rFonts w:ascii="Arial" w:hAnsi="Arial" w:cs="Arial"/>
        </w:rPr>
        <w:t xml:space="preserve">Not stated </w:t>
      </w:r>
    </w:p>
    <w:p w14:paraId="5C21E8C7" w14:textId="0DC02049" w:rsidR="007120FD" w:rsidRDefault="007120FD" w:rsidP="00542689">
      <w:pPr>
        <w:spacing w:after="240"/>
        <w:rPr>
          <w:rFonts w:ascii="Arial" w:hAnsi="Arial" w:cs="Arial"/>
        </w:rPr>
      </w:pPr>
      <w:r w:rsidRPr="007120FD">
        <w:rPr>
          <w:rFonts w:ascii="Arial" w:hAnsi="Arial" w:cs="Arial"/>
        </w:rPr>
        <w:t>Where a client chooses [I/They] use a different term, an optional free text field will be</w:t>
      </w:r>
      <w:r w:rsidR="005359AC">
        <w:rPr>
          <w:rFonts w:ascii="Arial" w:hAnsi="Arial" w:cs="Arial"/>
        </w:rPr>
        <w:t> </w:t>
      </w:r>
      <w:r w:rsidRPr="007120FD">
        <w:rPr>
          <w:rFonts w:ascii="Arial" w:hAnsi="Arial" w:cs="Arial"/>
        </w:rPr>
        <w:t>available to record preferred term [up to 100 characters].</w:t>
      </w:r>
    </w:p>
    <w:p w14:paraId="5E6D2154" w14:textId="7052C1B0" w:rsidR="007120FD" w:rsidRPr="00542689" w:rsidRDefault="007120FD" w:rsidP="00542689">
      <w:pPr>
        <w:spacing w:after="240"/>
        <w:rPr>
          <w:rFonts w:ascii="Arial" w:hAnsi="Arial" w:cs="Arial"/>
        </w:rPr>
      </w:pPr>
      <w:r>
        <w:rPr>
          <w:rFonts w:ascii="Arial" w:hAnsi="Arial" w:cs="Arial"/>
        </w:rPr>
        <w:t xml:space="preserve">The preferred term will only be able to be seen by </w:t>
      </w:r>
      <w:r w:rsidR="009F47A7">
        <w:rPr>
          <w:rFonts w:ascii="Arial" w:hAnsi="Arial" w:cs="Arial"/>
        </w:rPr>
        <w:t>your</w:t>
      </w:r>
      <w:r>
        <w:rPr>
          <w:rFonts w:ascii="Arial" w:hAnsi="Arial" w:cs="Arial"/>
        </w:rPr>
        <w:t xml:space="preserve"> Organisation, it will not be available to the department and will not be used for any reporting</w:t>
      </w:r>
      <w:r w:rsidR="003042EF">
        <w:rPr>
          <w:rFonts w:ascii="Arial" w:hAnsi="Arial" w:cs="Arial"/>
        </w:rPr>
        <w:t xml:space="preserve"> or analysis</w:t>
      </w:r>
      <w:r>
        <w:rPr>
          <w:rFonts w:ascii="Arial" w:hAnsi="Arial" w:cs="Arial"/>
        </w:rPr>
        <w:t xml:space="preserve">. </w:t>
      </w:r>
    </w:p>
    <w:p w14:paraId="518A5CF4" w14:textId="274B53CC" w:rsidR="004A4011" w:rsidRPr="00C173D8" w:rsidRDefault="004A4011" w:rsidP="00465875">
      <w:pPr>
        <w:pStyle w:val="Heading2"/>
        <w:keepNext/>
        <w:spacing w:before="360" w:after="120"/>
        <w:ind w:left="425" w:hanging="425"/>
        <w:rPr>
          <w:rFonts w:ascii="Arial" w:hAnsi="Arial" w:cs="Arial"/>
          <w:color w:val="005A70"/>
          <w:sz w:val="28"/>
          <w:szCs w:val="28"/>
        </w:rPr>
      </w:pPr>
      <w:r w:rsidRPr="00C173D8">
        <w:rPr>
          <w:rFonts w:ascii="Arial" w:hAnsi="Arial" w:cs="Arial"/>
          <w:color w:val="005A70"/>
          <w:sz w:val="28"/>
          <w:szCs w:val="28"/>
        </w:rPr>
        <w:lastRenderedPageBreak/>
        <w:t>Why</w:t>
      </w:r>
      <w:r w:rsidR="00C173D8">
        <w:rPr>
          <w:rFonts w:ascii="Arial" w:hAnsi="Arial" w:cs="Arial"/>
          <w:color w:val="005A70"/>
          <w:sz w:val="28"/>
          <w:szCs w:val="28"/>
        </w:rPr>
        <w:t xml:space="preserve"> have the Gender Values change</w:t>
      </w:r>
      <w:r w:rsidR="007120FD">
        <w:rPr>
          <w:rFonts w:ascii="Arial" w:hAnsi="Arial" w:cs="Arial"/>
          <w:color w:val="005A70"/>
          <w:sz w:val="28"/>
          <w:szCs w:val="28"/>
        </w:rPr>
        <w:t>d</w:t>
      </w:r>
      <w:r w:rsidR="00C173D8">
        <w:rPr>
          <w:rFonts w:ascii="Arial" w:hAnsi="Arial" w:cs="Arial"/>
          <w:color w:val="005A70"/>
          <w:sz w:val="28"/>
          <w:szCs w:val="28"/>
        </w:rPr>
        <w:t xml:space="preserve"> in the Data Exchange?</w:t>
      </w:r>
    </w:p>
    <w:p w14:paraId="1EDADA37" w14:textId="7E95E4A4" w:rsidR="004A4011" w:rsidRPr="00716652" w:rsidRDefault="004A4011" w:rsidP="00465875">
      <w:pPr>
        <w:keepNext/>
        <w:rPr>
          <w:rFonts w:ascii="Arial" w:hAnsi="Arial" w:cs="Arial"/>
        </w:rPr>
      </w:pPr>
      <w:r w:rsidRPr="00716652">
        <w:rPr>
          <w:rFonts w:ascii="Arial" w:hAnsi="Arial" w:cs="Arial"/>
        </w:rPr>
        <w:t>Non-binary is</w:t>
      </w:r>
      <w:r w:rsidR="0075587F">
        <w:rPr>
          <w:rFonts w:ascii="Arial" w:hAnsi="Arial" w:cs="Arial"/>
        </w:rPr>
        <w:t> </w:t>
      </w:r>
      <w:r w:rsidRPr="00716652">
        <w:rPr>
          <w:rFonts w:ascii="Arial" w:hAnsi="Arial" w:cs="Arial"/>
        </w:rPr>
        <w:t>an</w:t>
      </w:r>
      <w:r w:rsidR="0075587F">
        <w:rPr>
          <w:rFonts w:ascii="Arial" w:hAnsi="Arial" w:cs="Arial"/>
        </w:rPr>
        <w:t> </w:t>
      </w:r>
      <w:r w:rsidRPr="00716652">
        <w:rPr>
          <w:rFonts w:ascii="Arial" w:hAnsi="Arial" w:cs="Arial"/>
        </w:rPr>
        <w:t>umbrella term describing gender identities that are not exclusively male or female.</w:t>
      </w:r>
    </w:p>
    <w:p w14:paraId="64C044FE" w14:textId="77777777" w:rsidR="00CA24FA" w:rsidRPr="00716652" w:rsidRDefault="00CA24FA" w:rsidP="00CA24FA">
      <w:pPr>
        <w:keepNext/>
        <w:keepLines/>
        <w:spacing w:after="240"/>
        <w:jc w:val="both"/>
        <w:rPr>
          <w:rFonts w:ascii="Arial" w:hAnsi="Arial" w:cs="Arial"/>
        </w:rPr>
      </w:pPr>
      <w:r w:rsidRPr="00716652">
        <w:rPr>
          <w:rFonts w:ascii="Arial" w:hAnsi="Arial" w:cs="Arial"/>
        </w:rPr>
        <w:t>Gender includes the following concepts:</w:t>
      </w:r>
    </w:p>
    <w:p w14:paraId="3F23A18F" w14:textId="77777777" w:rsidR="00CA24FA" w:rsidRPr="00716652" w:rsidRDefault="00CA24FA" w:rsidP="00CA24FA">
      <w:pPr>
        <w:pStyle w:val="ListParagraph"/>
        <w:keepNext/>
        <w:keepLines/>
        <w:numPr>
          <w:ilvl w:val="0"/>
          <w:numId w:val="28"/>
        </w:numPr>
        <w:rPr>
          <w:rFonts w:ascii="Arial" w:hAnsi="Arial" w:cs="Arial"/>
        </w:rPr>
      </w:pPr>
      <w:r w:rsidRPr="00716652">
        <w:rPr>
          <w:rFonts w:ascii="Arial" w:hAnsi="Arial" w:cs="Arial"/>
        </w:rPr>
        <w:t>Gender identity is about who a person feels themselves to be</w:t>
      </w:r>
    </w:p>
    <w:p w14:paraId="54F9CA42" w14:textId="77777777" w:rsidR="00CA24FA" w:rsidRPr="00716652" w:rsidRDefault="00CA24FA" w:rsidP="00CA24FA">
      <w:pPr>
        <w:pStyle w:val="ListParagraph"/>
        <w:numPr>
          <w:ilvl w:val="0"/>
          <w:numId w:val="28"/>
        </w:numPr>
        <w:rPr>
          <w:rFonts w:ascii="Arial" w:hAnsi="Arial" w:cs="Arial"/>
        </w:rPr>
      </w:pPr>
      <w:r w:rsidRPr="00716652">
        <w:rPr>
          <w:rFonts w:ascii="Arial" w:hAnsi="Arial" w:cs="Arial"/>
        </w:rPr>
        <w:t>Gender expression is the way a person expresses their gender. A person's gender expression may also vary depending on the context, for instance expressing different genders at work and home</w:t>
      </w:r>
    </w:p>
    <w:p w14:paraId="0DD1219E" w14:textId="77777777" w:rsidR="00CA24FA" w:rsidRPr="00716652" w:rsidRDefault="00CA24FA" w:rsidP="00CA24FA">
      <w:pPr>
        <w:pStyle w:val="ListParagraph"/>
        <w:numPr>
          <w:ilvl w:val="0"/>
          <w:numId w:val="28"/>
        </w:numPr>
        <w:spacing w:after="240"/>
        <w:rPr>
          <w:rFonts w:ascii="Arial" w:hAnsi="Arial" w:cs="Arial"/>
        </w:rPr>
      </w:pPr>
      <w:r w:rsidRPr="00716652">
        <w:rPr>
          <w:rFonts w:ascii="Arial" w:hAnsi="Arial" w:cs="Arial"/>
        </w:rPr>
        <w:t>Gender experience describes a person’s alignment with the sex recorded for them at</w:t>
      </w:r>
      <w:r>
        <w:rPr>
          <w:rFonts w:ascii="Arial" w:hAnsi="Arial" w:cs="Arial"/>
        </w:rPr>
        <w:t> </w:t>
      </w:r>
      <w:r w:rsidRPr="00716652">
        <w:rPr>
          <w:rFonts w:ascii="Arial" w:hAnsi="Arial" w:cs="Arial"/>
        </w:rPr>
        <w:t>birth i.e. a cis experience or a trans experience. </w:t>
      </w:r>
      <w:r>
        <w:rPr>
          <w:rFonts w:ascii="Arial" w:hAnsi="Arial" w:cs="Arial"/>
          <w:color w:val="212529"/>
          <w:shd w:val="clear" w:color="auto" w:fill="FFFFFF"/>
        </w:rPr>
        <w:t>(</w:t>
      </w:r>
      <w:hyperlink r:id="rId8" w:history="1">
        <w:r w:rsidRPr="003E43DE">
          <w:rPr>
            <w:rStyle w:val="Hyperlink"/>
            <w:rFonts w:ascii="Arial" w:hAnsi="Arial" w:cs="Arial"/>
            <w:shd w:val="clear" w:color="auto" w:fill="FFFFFF"/>
          </w:rPr>
          <w:t>ABS 2021</w:t>
        </w:r>
      </w:hyperlink>
      <w:r>
        <w:rPr>
          <w:rFonts w:ascii="Arial" w:hAnsi="Arial" w:cs="Arial"/>
          <w:color w:val="212529"/>
          <w:shd w:val="clear" w:color="auto" w:fill="FFFFFF"/>
        </w:rPr>
        <w:t>.)</w:t>
      </w:r>
    </w:p>
    <w:p w14:paraId="2B03637F" w14:textId="77777777" w:rsidR="00CA24FA" w:rsidRPr="00716652" w:rsidRDefault="00CA24FA" w:rsidP="00CA24FA">
      <w:pPr>
        <w:spacing w:after="240"/>
        <w:jc w:val="both"/>
        <w:rPr>
          <w:rFonts w:ascii="Arial" w:hAnsi="Arial" w:cs="Arial"/>
        </w:rPr>
      </w:pPr>
      <w:r w:rsidRPr="00716652">
        <w:rPr>
          <w:rFonts w:ascii="Arial" w:hAnsi="Arial" w:cs="Arial"/>
        </w:rPr>
        <w:t>Gender is about social and cultural identity, expression and experience. A person's gender may differ from their sex and may also differ from what is indicated on their legal documents.  A person's gender may stay the same or can change over the course of their lifetime. The</w:t>
      </w:r>
      <w:r>
        <w:rPr>
          <w:rFonts w:ascii="Arial" w:hAnsi="Arial" w:cs="Arial"/>
        </w:rPr>
        <w:t> </w:t>
      </w:r>
      <w:r w:rsidRPr="00716652">
        <w:rPr>
          <w:rFonts w:ascii="Arial" w:hAnsi="Arial" w:cs="Arial"/>
        </w:rPr>
        <w:t>gender response option chosen will reflect a person's gender at that point in time. Some people may not identify with a specific gender or with the concept of gender at all.</w:t>
      </w:r>
    </w:p>
    <w:p w14:paraId="3C0CC259" w14:textId="2A3FBB12" w:rsidR="00CA24FA" w:rsidRDefault="00CA24FA" w:rsidP="00CA24FA">
      <w:pPr>
        <w:spacing w:after="240"/>
        <w:jc w:val="both"/>
        <w:rPr>
          <w:rFonts w:ascii="Arial" w:hAnsi="Arial" w:cs="Arial"/>
        </w:rPr>
      </w:pPr>
      <w:r>
        <w:rPr>
          <w:rFonts w:ascii="Arial" w:hAnsi="Arial" w:cs="Arial"/>
        </w:rPr>
        <w:t xml:space="preserve">When the </w:t>
      </w:r>
      <w:r w:rsidRPr="00716652">
        <w:rPr>
          <w:rFonts w:ascii="Arial" w:hAnsi="Arial" w:cs="Arial"/>
        </w:rPr>
        <w:t xml:space="preserve">Data Exchange </w:t>
      </w:r>
      <w:r>
        <w:rPr>
          <w:rFonts w:ascii="Arial" w:hAnsi="Arial" w:cs="Arial"/>
        </w:rPr>
        <w:t>was first introduce</w:t>
      </w:r>
      <w:r w:rsidR="007120FD">
        <w:rPr>
          <w:rFonts w:ascii="Arial" w:hAnsi="Arial" w:cs="Arial"/>
        </w:rPr>
        <w:t>d, it</w:t>
      </w:r>
      <w:r w:rsidRPr="00716652">
        <w:rPr>
          <w:rFonts w:ascii="Arial" w:hAnsi="Arial" w:cs="Arial"/>
        </w:rPr>
        <w:t xml:space="preserve"> included </w:t>
      </w:r>
      <w:r w:rsidR="007120FD">
        <w:rPr>
          <w:rFonts w:ascii="Arial" w:hAnsi="Arial" w:cs="Arial"/>
        </w:rPr>
        <w:t xml:space="preserve">an </w:t>
      </w:r>
      <w:r w:rsidRPr="00716652">
        <w:rPr>
          <w:rFonts w:ascii="Arial" w:hAnsi="Arial" w:cs="Arial"/>
        </w:rPr>
        <w:t>‘Intersex/indeterminate’ option for gender to</w:t>
      </w:r>
      <w:r>
        <w:rPr>
          <w:rFonts w:ascii="Arial" w:hAnsi="Arial" w:cs="Arial"/>
        </w:rPr>
        <w:t> </w:t>
      </w:r>
      <w:r w:rsidRPr="00716652">
        <w:rPr>
          <w:rFonts w:ascii="Arial" w:hAnsi="Arial" w:cs="Arial"/>
        </w:rPr>
        <w:t>be</w:t>
      </w:r>
      <w:r>
        <w:rPr>
          <w:rFonts w:ascii="Arial" w:hAnsi="Arial" w:cs="Arial"/>
        </w:rPr>
        <w:t> </w:t>
      </w:r>
      <w:r w:rsidRPr="00716652">
        <w:rPr>
          <w:rFonts w:ascii="Arial" w:hAnsi="Arial" w:cs="Arial"/>
        </w:rPr>
        <w:t xml:space="preserve">used where a client does not identify as male or female. </w:t>
      </w:r>
    </w:p>
    <w:p w14:paraId="5088A78C" w14:textId="790F1027" w:rsidR="00CA24FA" w:rsidRPr="00716652" w:rsidRDefault="00CA24FA" w:rsidP="00CA24FA">
      <w:pPr>
        <w:spacing w:after="240"/>
        <w:jc w:val="both"/>
        <w:rPr>
          <w:rFonts w:ascii="Arial" w:hAnsi="Arial" w:cs="Arial"/>
        </w:rPr>
      </w:pPr>
      <w:r w:rsidRPr="00716652">
        <w:rPr>
          <w:rFonts w:ascii="Arial" w:hAnsi="Arial" w:cs="Arial"/>
        </w:rPr>
        <w:t xml:space="preserve">Given the Data Exchange is collecting gender, consideration </w:t>
      </w:r>
      <w:r>
        <w:rPr>
          <w:rFonts w:ascii="Arial" w:hAnsi="Arial" w:cs="Arial"/>
        </w:rPr>
        <w:t>was</w:t>
      </w:r>
      <w:r w:rsidRPr="00716652">
        <w:rPr>
          <w:rFonts w:ascii="Arial" w:hAnsi="Arial" w:cs="Arial"/>
        </w:rPr>
        <w:t xml:space="preserve"> given as</w:t>
      </w:r>
      <w:r w:rsidR="00415F57">
        <w:rPr>
          <w:rFonts w:ascii="Arial" w:hAnsi="Arial" w:cs="Arial"/>
        </w:rPr>
        <w:t> </w:t>
      </w:r>
      <w:r w:rsidRPr="00716652">
        <w:rPr>
          <w:rFonts w:ascii="Arial" w:hAnsi="Arial" w:cs="Arial"/>
        </w:rPr>
        <w:t>to</w:t>
      </w:r>
      <w:r w:rsidR="00415F57">
        <w:rPr>
          <w:rFonts w:ascii="Arial" w:hAnsi="Arial" w:cs="Arial"/>
        </w:rPr>
        <w:t> </w:t>
      </w:r>
      <w:r w:rsidRPr="00716652">
        <w:rPr>
          <w:rFonts w:ascii="Arial" w:hAnsi="Arial" w:cs="Arial"/>
        </w:rPr>
        <w:t xml:space="preserve">whether retaining existing Intersex values as an option is appropriate. </w:t>
      </w:r>
    </w:p>
    <w:p w14:paraId="2590902F" w14:textId="77777777" w:rsidR="00CA24FA" w:rsidRPr="00716652" w:rsidRDefault="00CA24FA" w:rsidP="00CA24FA">
      <w:pPr>
        <w:spacing w:after="240"/>
        <w:jc w:val="both"/>
        <w:rPr>
          <w:rFonts w:ascii="Arial" w:hAnsi="Arial" w:cs="Arial"/>
        </w:rPr>
      </w:pPr>
      <w:r w:rsidRPr="00716652">
        <w:rPr>
          <w:rFonts w:ascii="Arial" w:hAnsi="Arial" w:cs="Arial"/>
        </w:rPr>
        <w:t xml:space="preserve">The ABS Standard states: </w:t>
      </w:r>
      <w:r w:rsidRPr="00716652">
        <w:rPr>
          <w:rFonts w:ascii="Arial" w:hAnsi="Arial" w:cs="Arial"/>
          <w:i/>
        </w:rPr>
        <w:t>‘many variations of sex characteristics are not evident at birth, and people may not be aware they were born with a variation of sex characteristics until puberty or later in life. The inclusion of intersex as a response option in a sex question, alongside male and female, is not capable of generating reliable or consistent results in measuring this population, and perpetuates the misconception that intersex people are neither male nor female.’</w:t>
      </w:r>
    </w:p>
    <w:p w14:paraId="71623155" w14:textId="704C71B8" w:rsidR="008749D6" w:rsidRDefault="008749D6" w:rsidP="00856F8A">
      <w:pPr>
        <w:keepNext/>
        <w:keepLines/>
        <w:spacing w:after="240"/>
        <w:jc w:val="both"/>
        <w:rPr>
          <w:rFonts w:ascii="Arial" w:hAnsi="Arial" w:cs="Arial"/>
        </w:rPr>
      </w:pPr>
      <w:r w:rsidRPr="008749D6">
        <w:rPr>
          <w:rFonts w:ascii="Arial" w:hAnsi="Arial" w:cs="Arial"/>
        </w:rPr>
        <w:t>The</w:t>
      </w:r>
      <w:r>
        <w:rPr>
          <w:rFonts w:ascii="Arial" w:hAnsi="Arial" w:cs="Arial"/>
        </w:rPr>
        <w:t xml:space="preserve"> ABS’</w:t>
      </w:r>
      <w:r w:rsidRPr="008749D6">
        <w:rPr>
          <w:rFonts w:ascii="Arial" w:hAnsi="Arial" w:cs="Arial"/>
        </w:rPr>
        <w:t xml:space="preserve"> standard gender question structure is comprised of:</w:t>
      </w:r>
    </w:p>
    <w:p w14:paraId="7D5815CC" w14:textId="6CF39005" w:rsidR="008749D6" w:rsidRPr="00542689" w:rsidRDefault="008749D6" w:rsidP="00CA24FA">
      <w:pPr>
        <w:rPr>
          <w:rFonts w:ascii="Arial" w:hAnsi="Arial" w:cs="Arial"/>
          <w:color w:val="000000"/>
          <w:szCs w:val="20"/>
          <w:shd w:val="clear" w:color="auto" w:fill="FFFFFF"/>
        </w:rPr>
      </w:pPr>
      <w:r w:rsidRPr="00542689">
        <w:rPr>
          <w:rFonts w:ascii="Arial" w:hAnsi="Arial" w:cs="Arial"/>
          <w:color w:val="000000"/>
          <w:szCs w:val="20"/>
          <w:shd w:val="clear" w:color="auto" w:fill="FFFFFF"/>
        </w:rPr>
        <w:t>How [do/does] [you/Person's name/they] describe [your/their] gender?</w:t>
      </w:r>
    </w:p>
    <w:p w14:paraId="24EF3034" w14:textId="77777777" w:rsidR="008749D6" w:rsidRPr="008749D6" w:rsidRDefault="008749D6" w:rsidP="008749D6">
      <w:pPr>
        <w:rPr>
          <w:rFonts w:ascii="Arial" w:hAnsi="Arial" w:cs="Arial"/>
        </w:rPr>
      </w:pPr>
      <w:r w:rsidRPr="008749D6">
        <w:rPr>
          <w:rFonts w:ascii="Arial" w:hAnsi="Arial" w:cs="Arial"/>
        </w:rPr>
        <w:t>Please [tick/mark/select] one box:</w:t>
      </w:r>
    </w:p>
    <w:p w14:paraId="07191123" w14:textId="77777777" w:rsidR="008749D6" w:rsidRPr="008749D6" w:rsidRDefault="008749D6" w:rsidP="00542689">
      <w:pPr>
        <w:ind w:left="720"/>
        <w:rPr>
          <w:rFonts w:ascii="Arial" w:hAnsi="Arial" w:cs="Arial"/>
        </w:rPr>
      </w:pPr>
      <w:r w:rsidRPr="008749D6">
        <w:rPr>
          <w:rFonts w:ascii="Segoe UI Symbol" w:hAnsi="Segoe UI Symbol" w:cs="Segoe UI Symbol"/>
        </w:rPr>
        <w:t>☐</w:t>
      </w:r>
      <w:r w:rsidRPr="008749D6">
        <w:rPr>
          <w:rFonts w:ascii="Arial" w:hAnsi="Arial" w:cs="Arial"/>
        </w:rPr>
        <w:tab/>
        <w:t>Man or male</w:t>
      </w:r>
    </w:p>
    <w:p w14:paraId="67B321D0" w14:textId="77777777" w:rsidR="008749D6" w:rsidRPr="008749D6" w:rsidRDefault="008749D6" w:rsidP="00542689">
      <w:pPr>
        <w:ind w:left="720"/>
        <w:rPr>
          <w:rFonts w:ascii="Arial" w:hAnsi="Arial" w:cs="Arial"/>
        </w:rPr>
      </w:pPr>
      <w:r w:rsidRPr="008749D6">
        <w:rPr>
          <w:rFonts w:ascii="Segoe UI Symbol" w:hAnsi="Segoe UI Symbol" w:cs="Segoe UI Symbol"/>
        </w:rPr>
        <w:t>☐</w:t>
      </w:r>
      <w:r w:rsidRPr="008749D6">
        <w:rPr>
          <w:rFonts w:ascii="Arial" w:hAnsi="Arial" w:cs="Arial"/>
        </w:rPr>
        <w:tab/>
        <w:t>Woman or female</w:t>
      </w:r>
    </w:p>
    <w:p w14:paraId="5E2507F2" w14:textId="77777777" w:rsidR="008749D6" w:rsidRPr="008749D6" w:rsidRDefault="008749D6" w:rsidP="00542689">
      <w:pPr>
        <w:ind w:left="720"/>
        <w:rPr>
          <w:rFonts w:ascii="Arial" w:hAnsi="Arial" w:cs="Arial"/>
        </w:rPr>
      </w:pPr>
      <w:r w:rsidRPr="008749D6">
        <w:rPr>
          <w:rFonts w:ascii="Segoe UI Symbol" w:hAnsi="Segoe UI Symbol" w:cs="Segoe UI Symbol"/>
        </w:rPr>
        <w:t>☐</w:t>
      </w:r>
      <w:r w:rsidRPr="008749D6">
        <w:rPr>
          <w:rFonts w:ascii="Arial" w:hAnsi="Arial" w:cs="Arial"/>
        </w:rPr>
        <w:tab/>
        <w:t>Non-binary</w:t>
      </w:r>
    </w:p>
    <w:p w14:paraId="4DAEB185" w14:textId="77777777" w:rsidR="008749D6" w:rsidRPr="008749D6" w:rsidRDefault="008749D6" w:rsidP="00542689">
      <w:pPr>
        <w:ind w:left="720"/>
        <w:rPr>
          <w:rFonts w:ascii="Arial" w:hAnsi="Arial" w:cs="Arial"/>
        </w:rPr>
      </w:pPr>
      <w:r w:rsidRPr="008749D6">
        <w:rPr>
          <w:rFonts w:ascii="Segoe UI Symbol" w:hAnsi="Segoe UI Symbol" w:cs="Segoe UI Symbol"/>
        </w:rPr>
        <w:t>☐</w:t>
      </w:r>
      <w:r w:rsidRPr="008749D6">
        <w:rPr>
          <w:rFonts w:ascii="Arial" w:hAnsi="Arial" w:cs="Arial"/>
        </w:rPr>
        <w:tab/>
        <w:t>[I/They] use a different term (please specify)</w:t>
      </w:r>
    </w:p>
    <w:p w14:paraId="35D62F94" w14:textId="41DD16A7" w:rsidR="008749D6" w:rsidRDefault="008749D6" w:rsidP="00542689">
      <w:pPr>
        <w:ind w:left="720"/>
        <w:rPr>
          <w:rFonts w:ascii="Arial" w:hAnsi="Arial" w:cs="Arial"/>
        </w:rPr>
      </w:pPr>
      <w:r w:rsidRPr="008749D6">
        <w:rPr>
          <w:rFonts w:ascii="Segoe UI Symbol" w:hAnsi="Segoe UI Symbol" w:cs="Segoe UI Symbol"/>
        </w:rPr>
        <w:t>☐</w:t>
      </w:r>
      <w:r w:rsidRPr="008749D6">
        <w:rPr>
          <w:rFonts w:ascii="Arial" w:hAnsi="Arial" w:cs="Arial"/>
        </w:rPr>
        <w:tab/>
        <w:t>Prefer not to answer</w:t>
      </w:r>
    </w:p>
    <w:p w14:paraId="6FE05E91" w14:textId="02766AC1" w:rsidR="00CD2E5F" w:rsidRDefault="003042EF" w:rsidP="00542689">
      <w:pPr>
        <w:pStyle w:val="Heading2"/>
        <w:keepNext/>
        <w:keepLines/>
        <w:spacing w:before="360" w:after="120"/>
        <w:rPr>
          <w:rFonts w:ascii="Arial" w:hAnsi="Arial" w:cs="Arial"/>
          <w:color w:val="005A70"/>
          <w:sz w:val="28"/>
          <w:szCs w:val="28"/>
        </w:rPr>
      </w:pPr>
      <w:r w:rsidRPr="00542689">
        <w:rPr>
          <w:rFonts w:ascii="Arial" w:hAnsi="Arial" w:cs="Arial"/>
          <w:color w:val="005A70"/>
          <w:sz w:val="28"/>
          <w:szCs w:val="28"/>
        </w:rPr>
        <w:lastRenderedPageBreak/>
        <w:t xml:space="preserve">How will the changes impact my XML upload or System to System upload? </w:t>
      </w:r>
    </w:p>
    <w:p w14:paraId="13EA20D8" w14:textId="0DA1C1C5" w:rsidR="003042EF" w:rsidRPr="00856F8A" w:rsidRDefault="00F327F2" w:rsidP="00856F8A">
      <w:pPr>
        <w:keepNext/>
        <w:keepLines/>
        <w:spacing w:after="240"/>
        <w:jc w:val="both"/>
        <w:rPr>
          <w:rFonts w:ascii="Arial" w:hAnsi="Arial" w:cs="Arial"/>
        </w:rPr>
      </w:pPr>
      <w:r w:rsidRPr="00856F8A">
        <w:rPr>
          <w:rFonts w:ascii="Arial" w:hAnsi="Arial" w:cs="Arial"/>
        </w:rPr>
        <w:t xml:space="preserve">Organisations are able to test the changes in the Data Exchange </w:t>
      </w:r>
      <w:r w:rsidR="00FF2537" w:rsidRPr="00856F8A">
        <w:rPr>
          <w:rFonts w:ascii="Arial" w:hAnsi="Arial" w:cs="Arial"/>
        </w:rPr>
        <w:t>Staging E</w:t>
      </w:r>
      <w:r w:rsidRPr="00856F8A">
        <w:rPr>
          <w:rFonts w:ascii="Arial" w:hAnsi="Arial" w:cs="Arial"/>
        </w:rPr>
        <w:t xml:space="preserve">nvironment. Updated reference data can be downloaded from the Web Portal. </w:t>
      </w:r>
    </w:p>
    <w:p w14:paraId="5D67C742" w14:textId="2CC88DC8" w:rsidR="00F327F2" w:rsidRPr="00856F8A" w:rsidRDefault="00F327F2" w:rsidP="00856F8A">
      <w:pPr>
        <w:keepNext/>
        <w:keepLines/>
        <w:spacing w:after="240"/>
        <w:jc w:val="both"/>
        <w:rPr>
          <w:rFonts w:ascii="Arial" w:hAnsi="Arial" w:cs="Arial"/>
        </w:rPr>
      </w:pPr>
      <w:r w:rsidRPr="00856F8A">
        <w:rPr>
          <w:rFonts w:ascii="Arial" w:hAnsi="Arial" w:cs="Arial"/>
        </w:rPr>
        <w:t>Although the descriptions for the following values has been updated</w:t>
      </w:r>
      <w:r w:rsidR="00FF2537" w:rsidRPr="00856F8A">
        <w:rPr>
          <w:rFonts w:ascii="Arial" w:hAnsi="Arial" w:cs="Arial"/>
        </w:rPr>
        <w:t>,</w:t>
      </w:r>
      <w:r w:rsidRPr="00856F8A">
        <w:rPr>
          <w:rFonts w:ascii="Arial" w:hAnsi="Arial" w:cs="Arial"/>
        </w:rPr>
        <w:t xml:space="preserve"> the gender codes used for uploads remain unchanged: </w:t>
      </w:r>
    </w:p>
    <w:p w14:paraId="20C26DF5" w14:textId="716E1885" w:rsidR="00F327F2" w:rsidRPr="00856F8A" w:rsidRDefault="00F327F2" w:rsidP="00856F8A">
      <w:pPr>
        <w:pStyle w:val="ListParagraph"/>
        <w:keepNext/>
        <w:keepLines/>
        <w:numPr>
          <w:ilvl w:val="0"/>
          <w:numId w:val="28"/>
        </w:numPr>
        <w:rPr>
          <w:rFonts w:ascii="Arial" w:hAnsi="Arial" w:cs="Arial"/>
        </w:rPr>
      </w:pPr>
      <w:r w:rsidRPr="00856F8A">
        <w:rPr>
          <w:rFonts w:ascii="Arial" w:hAnsi="Arial" w:cs="Arial"/>
        </w:rPr>
        <w:t>Man or male</w:t>
      </w:r>
    </w:p>
    <w:p w14:paraId="27AFA911" w14:textId="0261DE58" w:rsidR="00F327F2" w:rsidRPr="00856F8A" w:rsidRDefault="00F327F2" w:rsidP="00856F8A">
      <w:pPr>
        <w:pStyle w:val="ListParagraph"/>
        <w:keepNext/>
        <w:keepLines/>
        <w:numPr>
          <w:ilvl w:val="0"/>
          <w:numId w:val="28"/>
        </w:numPr>
        <w:rPr>
          <w:rFonts w:ascii="Arial" w:hAnsi="Arial" w:cs="Arial"/>
        </w:rPr>
      </w:pPr>
      <w:r w:rsidRPr="00856F8A">
        <w:rPr>
          <w:rFonts w:ascii="Arial" w:hAnsi="Arial" w:cs="Arial"/>
        </w:rPr>
        <w:t>Woman or female</w:t>
      </w:r>
    </w:p>
    <w:p w14:paraId="7F9B8C5D" w14:textId="19EDCAFD" w:rsidR="00F327F2" w:rsidRPr="00856F8A" w:rsidRDefault="00F327F2" w:rsidP="00856F8A">
      <w:pPr>
        <w:pStyle w:val="ListParagraph"/>
        <w:numPr>
          <w:ilvl w:val="0"/>
          <w:numId w:val="28"/>
        </w:numPr>
        <w:spacing w:after="240"/>
        <w:rPr>
          <w:rFonts w:ascii="Arial" w:hAnsi="Arial" w:cs="Arial"/>
        </w:rPr>
      </w:pPr>
      <w:r w:rsidRPr="00856F8A">
        <w:rPr>
          <w:rFonts w:ascii="Arial" w:hAnsi="Arial" w:cs="Arial"/>
        </w:rPr>
        <w:t>Unstated</w:t>
      </w:r>
    </w:p>
    <w:p w14:paraId="0E895670" w14:textId="77777777" w:rsidR="00FF2537" w:rsidRPr="00856F8A" w:rsidRDefault="00FF2537" w:rsidP="00856F8A">
      <w:pPr>
        <w:keepNext/>
        <w:keepLines/>
        <w:spacing w:after="240"/>
        <w:jc w:val="both"/>
        <w:rPr>
          <w:rFonts w:ascii="Arial" w:hAnsi="Arial" w:cs="Arial"/>
        </w:rPr>
      </w:pPr>
      <w:r w:rsidRPr="00856F8A">
        <w:rPr>
          <w:rFonts w:ascii="Arial" w:hAnsi="Arial" w:cs="Arial"/>
        </w:rPr>
        <w:t xml:space="preserve">The Statistical Linkage Key codes related to Gender are: </w:t>
      </w:r>
    </w:p>
    <w:p w14:paraId="7428C57E" w14:textId="77777777" w:rsidR="00FF2537" w:rsidRPr="00856F8A" w:rsidRDefault="00FF2537" w:rsidP="00856F8A">
      <w:pPr>
        <w:pStyle w:val="ListParagraph"/>
        <w:keepNext/>
        <w:keepLines/>
        <w:numPr>
          <w:ilvl w:val="0"/>
          <w:numId w:val="28"/>
        </w:numPr>
        <w:rPr>
          <w:rFonts w:ascii="Arial" w:hAnsi="Arial" w:cs="Arial"/>
        </w:rPr>
      </w:pPr>
      <w:r w:rsidRPr="00856F8A">
        <w:rPr>
          <w:rFonts w:ascii="Arial" w:hAnsi="Arial" w:cs="Arial"/>
        </w:rPr>
        <w:t>Code 1 for Man or male</w:t>
      </w:r>
    </w:p>
    <w:p w14:paraId="5B2D69E8" w14:textId="77777777" w:rsidR="00FF2537" w:rsidRPr="00856F8A" w:rsidRDefault="00FF2537" w:rsidP="00856F8A">
      <w:pPr>
        <w:pStyle w:val="ListParagraph"/>
        <w:keepNext/>
        <w:keepLines/>
        <w:numPr>
          <w:ilvl w:val="0"/>
          <w:numId w:val="28"/>
        </w:numPr>
        <w:rPr>
          <w:rFonts w:ascii="Arial" w:hAnsi="Arial" w:cs="Arial"/>
        </w:rPr>
      </w:pPr>
      <w:r w:rsidRPr="00856F8A">
        <w:rPr>
          <w:rFonts w:ascii="Arial" w:hAnsi="Arial" w:cs="Arial"/>
        </w:rPr>
        <w:t>Code 2 for Woman or female</w:t>
      </w:r>
    </w:p>
    <w:p w14:paraId="7844E24A" w14:textId="77777777" w:rsidR="00FF2537" w:rsidRPr="00856F8A" w:rsidRDefault="00FF2537" w:rsidP="00856F8A">
      <w:pPr>
        <w:pStyle w:val="ListParagraph"/>
        <w:keepNext/>
        <w:keepLines/>
        <w:numPr>
          <w:ilvl w:val="0"/>
          <w:numId w:val="28"/>
        </w:numPr>
        <w:rPr>
          <w:rFonts w:ascii="Arial" w:hAnsi="Arial" w:cs="Arial"/>
        </w:rPr>
      </w:pPr>
      <w:r w:rsidRPr="00856F8A">
        <w:rPr>
          <w:rFonts w:ascii="Arial" w:hAnsi="Arial" w:cs="Arial"/>
        </w:rPr>
        <w:t>Code 3 for Non Binary</w:t>
      </w:r>
    </w:p>
    <w:p w14:paraId="05AA1823" w14:textId="77777777" w:rsidR="00FF2537" w:rsidRPr="00856F8A" w:rsidRDefault="00FF2537" w:rsidP="00856F8A">
      <w:pPr>
        <w:pStyle w:val="ListParagraph"/>
        <w:keepNext/>
        <w:keepLines/>
        <w:numPr>
          <w:ilvl w:val="0"/>
          <w:numId w:val="28"/>
        </w:numPr>
        <w:rPr>
          <w:rFonts w:ascii="Arial" w:hAnsi="Arial" w:cs="Arial"/>
        </w:rPr>
      </w:pPr>
      <w:r w:rsidRPr="00856F8A">
        <w:rPr>
          <w:rFonts w:ascii="Arial" w:hAnsi="Arial" w:cs="Arial"/>
        </w:rPr>
        <w:t>Code 3 for [I\They] use a different term</w:t>
      </w:r>
    </w:p>
    <w:p w14:paraId="4A15EF39" w14:textId="696CB5E1" w:rsidR="00FF2537" w:rsidRPr="00856F8A" w:rsidRDefault="00FF2537" w:rsidP="00856F8A">
      <w:pPr>
        <w:pStyle w:val="ListParagraph"/>
        <w:keepNext/>
        <w:keepLines/>
        <w:numPr>
          <w:ilvl w:val="0"/>
          <w:numId w:val="28"/>
        </w:numPr>
        <w:rPr>
          <w:rFonts w:ascii="Arial" w:hAnsi="Arial" w:cs="Arial"/>
        </w:rPr>
      </w:pPr>
      <w:r w:rsidRPr="00856F8A">
        <w:rPr>
          <w:rFonts w:ascii="Arial" w:hAnsi="Arial" w:cs="Arial"/>
        </w:rPr>
        <w:t xml:space="preserve">Code 9 for Not stated </w:t>
      </w:r>
    </w:p>
    <w:p w14:paraId="1F27B21B" w14:textId="77777777" w:rsidR="00856F8A" w:rsidRPr="00322016" w:rsidRDefault="00856F8A" w:rsidP="00856F8A">
      <w:pPr>
        <w:pStyle w:val="Heading2"/>
        <w:keepNext/>
        <w:keepLines/>
        <w:spacing w:before="360" w:after="120"/>
        <w:ind w:left="425" w:hanging="425"/>
        <w:rPr>
          <w:rFonts w:ascii="Arial" w:hAnsi="Arial" w:cs="Arial"/>
          <w:color w:val="005A70"/>
          <w:sz w:val="28"/>
          <w:szCs w:val="28"/>
        </w:rPr>
      </w:pPr>
      <w:r w:rsidRPr="00322016">
        <w:rPr>
          <w:rFonts w:ascii="Arial" w:hAnsi="Arial" w:cs="Arial"/>
          <w:color w:val="005A70"/>
          <w:sz w:val="28"/>
          <w:szCs w:val="28"/>
        </w:rPr>
        <w:t xml:space="preserve">How will the changes impact </w:t>
      </w:r>
      <w:r>
        <w:rPr>
          <w:rFonts w:ascii="Arial" w:hAnsi="Arial" w:cs="Arial"/>
          <w:color w:val="005A70"/>
          <w:sz w:val="28"/>
          <w:szCs w:val="28"/>
        </w:rPr>
        <w:t>on my reports?</w:t>
      </w:r>
    </w:p>
    <w:p w14:paraId="50E8811C" w14:textId="77777777" w:rsidR="00856F8A" w:rsidRDefault="00856F8A" w:rsidP="005359AC">
      <w:pPr>
        <w:spacing w:after="240"/>
        <w:jc w:val="both"/>
        <w:rPr>
          <w:rFonts w:ascii="Arial" w:hAnsi="Arial" w:cs="Arial"/>
        </w:rPr>
      </w:pPr>
      <w:r>
        <w:rPr>
          <w:rFonts w:ascii="Arial" w:hAnsi="Arial" w:cs="Arial"/>
        </w:rPr>
        <w:t>The changes will not impact on clients previously reported into the Data Exchange as i</w:t>
      </w:r>
      <w:r w:rsidRPr="009452E7">
        <w:rPr>
          <w:rFonts w:ascii="Arial" w:hAnsi="Arial" w:cs="Arial"/>
        </w:rPr>
        <w:t>ntersex/indeterminate</w:t>
      </w:r>
      <w:r>
        <w:rPr>
          <w:rFonts w:ascii="Arial" w:hAnsi="Arial" w:cs="Arial"/>
        </w:rPr>
        <w:t xml:space="preserve"> unless you are updating their client record.</w:t>
      </w:r>
    </w:p>
    <w:p w14:paraId="667C12AF" w14:textId="77777777" w:rsidR="005359AC" w:rsidRDefault="00856F8A" w:rsidP="005359AC">
      <w:pPr>
        <w:spacing w:after="240"/>
        <w:jc w:val="both"/>
        <w:rPr>
          <w:rFonts w:ascii="Arial" w:hAnsi="Arial" w:cs="Arial"/>
        </w:rPr>
      </w:pPr>
      <w:r>
        <w:rPr>
          <w:rFonts w:ascii="Arial" w:hAnsi="Arial" w:cs="Arial"/>
        </w:rPr>
        <w:t>However, o</w:t>
      </w:r>
      <w:r w:rsidRPr="009452E7">
        <w:rPr>
          <w:rFonts w:ascii="Arial" w:hAnsi="Arial" w:cs="Arial"/>
        </w:rPr>
        <w:t>rganisations will be able to update client records with a different gender value if</w:t>
      </w:r>
      <w:r>
        <w:rPr>
          <w:rFonts w:ascii="Arial" w:hAnsi="Arial" w:cs="Arial"/>
        </w:rPr>
        <w:t> </w:t>
      </w:r>
      <w:r w:rsidRPr="009452E7">
        <w:rPr>
          <w:rFonts w:ascii="Arial" w:hAnsi="Arial" w:cs="Arial"/>
        </w:rPr>
        <w:t xml:space="preserve">clients would prefer to elect one of the new values should they feel this better represents them. </w:t>
      </w:r>
    </w:p>
    <w:p w14:paraId="02ADFE12" w14:textId="565D76DB" w:rsidR="00856F8A" w:rsidRPr="009452E7" w:rsidRDefault="00856F8A" w:rsidP="005359AC">
      <w:pPr>
        <w:spacing w:after="240"/>
        <w:jc w:val="both"/>
        <w:rPr>
          <w:rFonts w:ascii="Arial" w:hAnsi="Arial" w:cs="Arial"/>
        </w:rPr>
      </w:pPr>
      <w:r w:rsidRPr="009452E7">
        <w:rPr>
          <w:rFonts w:ascii="Arial" w:hAnsi="Arial" w:cs="Arial"/>
        </w:rPr>
        <w:t>Clients who are happy to remain with a classification of ‘Intersex/ indeterminate’ will be</w:t>
      </w:r>
      <w:r>
        <w:rPr>
          <w:rFonts w:ascii="Arial" w:hAnsi="Arial" w:cs="Arial"/>
        </w:rPr>
        <w:t> </w:t>
      </w:r>
      <w:r w:rsidRPr="009452E7">
        <w:rPr>
          <w:rFonts w:ascii="Arial" w:hAnsi="Arial" w:cs="Arial"/>
        </w:rPr>
        <w:t>able to do so, and clients who have ceased services, or no longer engage with the organisation will retain the gender value provided at the time they received the service. For these clients, if other edits are needed to be made to the client record at a point after the ‘Intersex/ indeterminate’ value is retired, then the organisation will be required to select a new ‘current’ gender value to save the record.</w:t>
      </w:r>
    </w:p>
    <w:p w14:paraId="64FADDF3" w14:textId="77777777" w:rsidR="00F327F2" w:rsidRPr="00BC03FF" w:rsidRDefault="00F327F2" w:rsidP="00BC03FF">
      <w:pPr>
        <w:keepNext/>
        <w:keepLines/>
        <w:spacing w:after="240"/>
        <w:jc w:val="both"/>
        <w:rPr>
          <w:rFonts w:ascii="Arial" w:hAnsi="Arial" w:cs="Arial"/>
        </w:rPr>
      </w:pPr>
    </w:p>
    <w:sectPr w:rsidR="00F327F2" w:rsidRPr="00BC03FF" w:rsidSect="00542689">
      <w:headerReference w:type="default" r:id="rId9"/>
      <w:footerReference w:type="default" r:id="rId10"/>
      <w:headerReference w:type="first" r:id="rId11"/>
      <w:footerReference w:type="first" r:id="rId12"/>
      <w:pgSz w:w="11906" w:h="16838" w:code="9"/>
      <w:pgMar w:top="1702" w:right="1440" w:bottom="1559" w:left="144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C3997" w14:textId="77777777" w:rsidR="00CC680B" w:rsidRDefault="00CC680B" w:rsidP="00B04ED8">
      <w:r>
        <w:separator/>
      </w:r>
    </w:p>
  </w:endnote>
  <w:endnote w:type="continuationSeparator" w:id="0">
    <w:p w14:paraId="361CF4F6" w14:textId="77777777" w:rsidR="00CC680B" w:rsidRDefault="00CC680B"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AD2D5" w14:textId="31BEC3B6" w:rsidR="00305579" w:rsidRDefault="00305579" w:rsidP="00CD2E5F">
    <w:pPr>
      <w:pBdr>
        <w:top w:val="single" w:sz="4" w:space="1" w:color="auto"/>
      </w:pBdr>
      <w:tabs>
        <w:tab w:val="center" w:pos="8812"/>
      </w:tabs>
      <w:suppressAutoHyphens/>
      <w:spacing w:before="120"/>
      <w:ind w:left="-500"/>
    </w:pPr>
    <w:r>
      <w:rPr>
        <w:rFonts w:ascii="Arial" w:eastAsia="Calibri" w:hAnsi="Arial" w:cs="Arial"/>
        <w:color w:val="000000" w:themeColor="text1"/>
        <w:sz w:val="18"/>
        <w:szCs w:val="18"/>
      </w:rPr>
      <w:t>Data Exchange fact sheet – Gender Values</w:t>
    </w:r>
    <w:r w:rsidRPr="006B0030">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00BC03FF">
      <w:rPr>
        <w:rFonts w:ascii="Arial" w:eastAsia="Calibri" w:hAnsi="Arial" w:cs="Arial"/>
        <w:color w:val="000000" w:themeColor="text1"/>
        <w:sz w:val="18"/>
        <w:szCs w:val="18"/>
      </w:rPr>
      <w:t>November</w:t>
    </w:r>
    <w:r>
      <w:rPr>
        <w:rFonts w:ascii="Arial" w:eastAsia="Calibri" w:hAnsi="Arial" w:cs="Arial"/>
        <w:color w:val="000000" w:themeColor="text1"/>
        <w:sz w:val="18"/>
        <w:szCs w:val="18"/>
      </w:rPr>
      <w:t xml:space="preserve"> 2023</w:t>
    </w:r>
    <w:r w:rsidRPr="006B0030">
      <w:rPr>
        <w:rFonts w:ascii="Arial" w:eastAsia="Calibri" w:hAnsi="Arial" w:cs="Arial"/>
        <w:color w:val="000000" w:themeColor="text1"/>
        <w:sz w:val="18"/>
        <w:szCs w:val="18"/>
      </w:rPr>
      <w:tab/>
    </w:r>
    <w:r w:rsidRPr="006B0030">
      <w:rPr>
        <w:rFonts w:ascii="Arial" w:eastAsia="Calibri" w:hAnsi="Arial" w:cs="Arial"/>
        <w:b/>
        <w:color w:val="000000" w:themeColor="text1"/>
      </w:rPr>
      <w:fldChar w:fldCharType="begin"/>
    </w:r>
    <w:r w:rsidRPr="006B0030">
      <w:rPr>
        <w:rFonts w:ascii="Arial" w:eastAsia="Calibri" w:hAnsi="Arial" w:cs="Arial"/>
        <w:b/>
        <w:color w:val="000000" w:themeColor="text1"/>
      </w:rPr>
      <w:instrText xml:space="preserve"> PAGE   \* MERGEFORMAT </w:instrText>
    </w:r>
    <w:r w:rsidRPr="006B0030">
      <w:rPr>
        <w:rFonts w:ascii="Arial" w:eastAsia="Calibri" w:hAnsi="Arial" w:cs="Arial"/>
        <w:b/>
        <w:color w:val="000000" w:themeColor="text1"/>
      </w:rPr>
      <w:fldChar w:fldCharType="separate"/>
    </w:r>
    <w:r w:rsidR="004A76A5">
      <w:rPr>
        <w:rFonts w:ascii="Arial" w:eastAsia="Calibri" w:hAnsi="Arial" w:cs="Arial"/>
        <w:b/>
        <w:noProof/>
        <w:color w:val="000000" w:themeColor="text1"/>
      </w:rPr>
      <w:t>3</w:t>
    </w:r>
    <w:r w:rsidRPr="006B0030">
      <w:rPr>
        <w:rFonts w:ascii="Arial" w:eastAsia="Calibri" w:hAnsi="Arial" w:cs="Arial"/>
        <w:b/>
        <w:noProof/>
        <w:color w:val="000000"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38F9C" w14:textId="6045F430" w:rsidR="00305579" w:rsidRDefault="00305579" w:rsidP="00CD2E5F">
    <w:pPr>
      <w:pBdr>
        <w:top w:val="single" w:sz="4" w:space="1" w:color="auto"/>
      </w:pBdr>
      <w:tabs>
        <w:tab w:val="center" w:pos="8812"/>
      </w:tabs>
      <w:suppressAutoHyphens/>
      <w:spacing w:before="120"/>
      <w:ind w:left="-500"/>
    </w:pPr>
    <w:r>
      <w:rPr>
        <w:rFonts w:ascii="Arial" w:eastAsia="Calibri" w:hAnsi="Arial" w:cs="Arial"/>
        <w:color w:val="000000" w:themeColor="text1"/>
        <w:sz w:val="18"/>
        <w:szCs w:val="18"/>
      </w:rPr>
      <w:t>Data Exchange fact sheet – Gender Values</w:t>
    </w:r>
    <w:r w:rsidRPr="006B0030">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00BC03FF">
      <w:rPr>
        <w:rFonts w:ascii="Arial" w:eastAsia="Calibri" w:hAnsi="Arial" w:cs="Arial"/>
        <w:color w:val="000000" w:themeColor="text1"/>
        <w:sz w:val="18"/>
        <w:szCs w:val="18"/>
      </w:rPr>
      <w:t>November</w:t>
    </w:r>
    <w:r>
      <w:rPr>
        <w:rFonts w:ascii="Arial" w:eastAsia="Calibri" w:hAnsi="Arial" w:cs="Arial"/>
        <w:color w:val="000000" w:themeColor="text1"/>
        <w:sz w:val="18"/>
        <w:szCs w:val="18"/>
      </w:rPr>
      <w:t xml:space="preserve"> 2023</w:t>
    </w:r>
    <w:r w:rsidRPr="006B0030">
      <w:rPr>
        <w:rFonts w:ascii="Arial" w:eastAsia="Calibri" w:hAnsi="Arial" w:cs="Arial"/>
        <w:color w:val="000000" w:themeColor="text1"/>
        <w:sz w:val="18"/>
        <w:szCs w:val="18"/>
      </w:rPr>
      <w:tab/>
    </w:r>
    <w:r w:rsidRPr="006B0030">
      <w:rPr>
        <w:rFonts w:ascii="Arial" w:eastAsia="Calibri" w:hAnsi="Arial" w:cs="Arial"/>
        <w:b/>
        <w:color w:val="000000" w:themeColor="text1"/>
      </w:rPr>
      <w:fldChar w:fldCharType="begin"/>
    </w:r>
    <w:r w:rsidRPr="006B0030">
      <w:rPr>
        <w:rFonts w:ascii="Arial" w:eastAsia="Calibri" w:hAnsi="Arial" w:cs="Arial"/>
        <w:b/>
        <w:color w:val="000000" w:themeColor="text1"/>
      </w:rPr>
      <w:instrText xml:space="preserve"> PAGE   \* MERGEFORMAT </w:instrText>
    </w:r>
    <w:r w:rsidRPr="006B0030">
      <w:rPr>
        <w:rFonts w:ascii="Arial" w:eastAsia="Calibri" w:hAnsi="Arial" w:cs="Arial"/>
        <w:b/>
        <w:color w:val="000000" w:themeColor="text1"/>
      </w:rPr>
      <w:fldChar w:fldCharType="separate"/>
    </w:r>
    <w:r w:rsidR="004A76A5">
      <w:rPr>
        <w:rFonts w:ascii="Arial" w:eastAsia="Calibri" w:hAnsi="Arial" w:cs="Arial"/>
        <w:b/>
        <w:noProof/>
        <w:color w:val="000000" w:themeColor="text1"/>
      </w:rPr>
      <w:t>1</w:t>
    </w:r>
    <w:r w:rsidRPr="006B0030">
      <w:rPr>
        <w:rFonts w:ascii="Arial" w:eastAsia="Calibri" w:hAnsi="Arial" w:cs="Arial"/>
        <w:b/>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F395D" w14:textId="77777777" w:rsidR="00CC680B" w:rsidRDefault="00CC680B" w:rsidP="00B04ED8">
      <w:r>
        <w:separator/>
      </w:r>
    </w:p>
  </w:footnote>
  <w:footnote w:type="continuationSeparator" w:id="0">
    <w:p w14:paraId="55C38EB1" w14:textId="77777777" w:rsidR="00CC680B" w:rsidRDefault="00CC680B" w:rsidP="00B0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A37C3" w14:textId="579A3C89" w:rsidR="00305579" w:rsidRPr="00B40CDE" w:rsidRDefault="00305579" w:rsidP="006B0030">
    <w:pPr>
      <w:pStyle w:val="Header"/>
      <w:ind w:left="-141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6BA18" w14:textId="215A8B04" w:rsidR="00305579" w:rsidRDefault="00305579" w:rsidP="00CD2E5F">
    <w:pPr>
      <w:pStyle w:val="Header"/>
      <w:ind w:left="-1418"/>
    </w:pPr>
    <w:r>
      <w:rPr>
        <w:noProof/>
        <w:lang w:eastAsia="en-AU"/>
      </w:rPr>
      <w:drawing>
        <wp:inline distT="0" distB="0" distL="0" distR="0" wp14:anchorId="2993CAF5" wp14:editId="0B50F8A2">
          <wp:extent cx="7549116" cy="1201479"/>
          <wp:effectExtent l="0" t="0" r="0" b="0"/>
          <wp:docPr id="10" name="Picture 10" descr="This is a picture of the Data Exchange branding on header." title="Data Exchange Header"/>
          <wp:cNvGraphicFramePr/>
          <a:graphic xmlns:a="http://schemas.openxmlformats.org/drawingml/2006/main">
            <a:graphicData uri="http://schemas.openxmlformats.org/drawingml/2006/picture">
              <pic:pic xmlns:pic="http://schemas.openxmlformats.org/drawingml/2006/picture">
                <pic:nvPicPr>
                  <pic:cNvPr id="3" name="Picture 3" descr="Austlaian Goervnment logo and words saying Data Exchange" title="Data Exchange Header"/>
                  <pic:cNvPicPr/>
                </pic:nvPicPr>
                <pic:blipFill>
                  <a:blip r:embed="rId1">
                    <a:extLst>
                      <a:ext uri="{28A0092B-C50C-407E-A947-70E740481C1C}">
                        <a14:useLocalDpi xmlns:a14="http://schemas.microsoft.com/office/drawing/2010/main" val="0"/>
                      </a:ext>
                    </a:extLst>
                  </a:blip>
                  <a:stretch>
                    <a:fillRect/>
                  </a:stretch>
                </pic:blipFill>
                <pic:spPr>
                  <a:xfrm>
                    <a:off x="0" y="0"/>
                    <a:ext cx="7682188" cy="12226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9269F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C25D8"/>
    <w:multiLevelType w:val="hybridMultilevel"/>
    <w:tmpl w:val="26EC75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EE7DCE"/>
    <w:multiLevelType w:val="hybridMultilevel"/>
    <w:tmpl w:val="4144603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102748EE"/>
    <w:multiLevelType w:val="multilevel"/>
    <w:tmpl w:val="39BE8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CB45DE"/>
    <w:multiLevelType w:val="hybridMultilevel"/>
    <w:tmpl w:val="3C6A2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1D1BA6"/>
    <w:multiLevelType w:val="hybridMultilevel"/>
    <w:tmpl w:val="21BC8278"/>
    <w:lvl w:ilvl="0" w:tplc="0C090017">
      <w:start w:val="1"/>
      <w:numFmt w:val="lowerLetter"/>
      <w:lvlText w:val="%1)"/>
      <w:lvlJc w:val="left"/>
      <w:pPr>
        <w:ind w:left="1080" w:hanging="72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E661AB"/>
    <w:multiLevelType w:val="multilevel"/>
    <w:tmpl w:val="5352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B26AC2"/>
    <w:multiLevelType w:val="hybridMultilevel"/>
    <w:tmpl w:val="84089648"/>
    <w:lvl w:ilvl="0" w:tplc="4D729DF0">
      <w:start w:val="2"/>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15:restartNumberingAfterBreak="0">
    <w:nsid w:val="27604978"/>
    <w:multiLevelType w:val="multilevel"/>
    <w:tmpl w:val="8F845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944ACB"/>
    <w:multiLevelType w:val="hybridMultilevel"/>
    <w:tmpl w:val="41189F5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392316"/>
    <w:multiLevelType w:val="hybridMultilevel"/>
    <w:tmpl w:val="76BEF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545864"/>
    <w:multiLevelType w:val="hybridMultilevel"/>
    <w:tmpl w:val="367234D4"/>
    <w:lvl w:ilvl="0" w:tplc="8D184638">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EF6F0B"/>
    <w:multiLevelType w:val="hybridMultilevel"/>
    <w:tmpl w:val="C4BCED9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0D0DE0"/>
    <w:multiLevelType w:val="hybridMultilevel"/>
    <w:tmpl w:val="F70E8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D645B4"/>
    <w:multiLevelType w:val="hybridMultilevel"/>
    <w:tmpl w:val="B3BA78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024440"/>
    <w:multiLevelType w:val="hybridMultilevel"/>
    <w:tmpl w:val="E8A6ACB8"/>
    <w:lvl w:ilvl="0" w:tplc="7A626A46">
      <w:start w:val="4"/>
      <w:numFmt w:val="decimal"/>
      <w:lvlText w:val="%1."/>
      <w:lvlJc w:val="left"/>
      <w:pPr>
        <w:ind w:left="644" w:hanging="360"/>
      </w:pPr>
      <w:rPr>
        <w:rFonts w:ascii="Georgia" w:hAnsi="Georgia" w:hint="default"/>
        <w:b/>
        <w:color w:val="005A70"/>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B737299"/>
    <w:multiLevelType w:val="hybridMultilevel"/>
    <w:tmpl w:val="5DB8E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601C2B"/>
    <w:multiLevelType w:val="hybridMultilevel"/>
    <w:tmpl w:val="B7DCF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CD7BAC"/>
    <w:multiLevelType w:val="hybridMultilevel"/>
    <w:tmpl w:val="B0BCB24C"/>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9" w15:restartNumberingAfterBreak="0">
    <w:nsid w:val="512B2ADD"/>
    <w:multiLevelType w:val="hybridMultilevel"/>
    <w:tmpl w:val="80DE2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0B40BD"/>
    <w:multiLevelType w:val="hybridMultilevel"/>
    <w:tmpl w:val="933A9798"/>
    <w:lvl w:ilvl="0" w:tplc="56404B20">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1" w15:restartNumberingAfterBreak="0">
    <w:nsid w:val="55CF2744"/>
    <w:multiLevelType w:val="hybridMultilevel"/>
    <w:tmpl w:val="49941B22"/>
    <w:lvl w:ilvl="0" w:tplc="0C090005">
      <w:start w:val="1"/>
      <w:numFmt w:val="bullet"/>
      <w:lvlText w:val=""/>
      <w:lvlJc w:val="left"/>
      <w:pPr>
        <w:tabs>
          <w:tab w:val="num" w:pos="927"/>
        </w:tabs>
        <w:ind w:left="927" w:hanging="360"/>
      </w:pPr>
      <w:rPr>
        <w:rFonts w:ascii="Wingdings" w:hAnsi="Wingdings"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22" w15:restartNumberingAfterBreak="0">
    <w:nsid w:val="5E5C2B72"/>
    <w:multiLevelType w:val="multilevel"/>
    <w:tmpl w:val="C218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6B65ED"/>
    <w:multiLevelType w:val="hybridMultilevel"/>
    <w:tmpl w:val="FD7664D2"/>
    <w:lvl w:ilvl="0" w:tplc="0C090001">
      <w:start w:val="1"/>
      <w:numFmt w:val="bullet"/>
      <w:lvlText w:val=""/>
      <w:lvlJc w:val="left"/>
      <w:pPr>
        <w:ind w:left="2214" w:hanging="360"/>
      </w:pPr>
      <w:rPr>
        <w:rFonts w:ascii="Symbol" w:hAnsi="Symbol" w:hint="default"/>
      </w:rPr>
    </w:lvl>
    <w:lvl w:ilvl="1" w:tplc="0C090003" w:tentative="1">
      <w:start w:val="1"/>
      <w:numFmt w:val="bullet"/>
      <w:lvlText w:val="o"/>
      <w:lvlJc w:val="left"/>
      <w:pPr>
        <w:ind w:left="2934" w:hanging="360"/>
      </w:pPr>
      <w:rPr>
        <w:rFonts w:ascii="Courier New" w:hAnsi="Courier New" w:cs="Courier New" w:hint="default"/>
      </w:rPr>
    </w:lvl>
    <w:lvl w:ilvl="2" w:tplc="0C090005" w:tentative="1">
      <w:start w:val="1"/>
      <w:numFmt w:val="bullet"/>
      <w:lvlText w:val=""/>
      <w:lvlJc w:val="left"/>
      <w:pPr>
        <w:ind w:left="3654" w:hanging="360"/>
      </w:pPr>
      <w:rPr>
        <w:rFonts w:ascii="Wingdings" w:hAnsi="Wingdings" w:hint="default"/>
      </w:rPr>
    </w:lvl>
    <w:lvl w:ilvl="3" w:tplc="0C090001" w:tentative="1">
      <w:start w:val="1"/>
      <w:numFmt w:val="bullet"/>
      <w:lvlText w:val=""/>
      <w:lvlJc w:val="left"/>
      <w:pPr>
        <w:ind w:left="4374" w:hanging="360"/>
      </w:pPr>
      <w:rPr>
        <w:rFonts w:ascii="Symbol" w:hAnsi="Symbol" w:hint="default"/>
      </w:rPr>
    </w:lvl>
    <w:lvl w:ilvl="4" w:tplc="0C090003" w:tentative="1">
      <w:start w:val="1"/>
      <w:numFmt w:val="bullet"/>
      <w:lvlText w:val="o"/>
      <w:lvlJc w:val="left"/>
      <w:pPr>
        <w:ind w:left="5094" w:hanging="360"/>
      </w:pPr>
      <w:rPr>
        <w:rFonts w:ascii="Courier New" w:hAnsi="Courier New" w:cs="Courier New" w:hint="default"/>
      </w:rPr>
    </w:lvl>
    <w:lvl w:ilvl="5" w:tplc="0C090005" w:tentative="1">
      <w:start w:val="1"/>
      <w:numFmt w:val="bullet"/>
      <w:lvlText w:val=""/>
      <w:lvlJc w:val="left"/>
      <w:pPr>
        <w:ind w:left="5814" w:hanging="360"/>
      </w:pPr>
      <w:rPr>
        <w:rFonts w:ascii="Wingdings" w:hAnsi="Wingdings" w:hint="default"/>
      </w:rPr>
    </w:lvl>
    <w:lvl w:ilvl="6" w:tplc="0C090001" w:tentative="1">
      <w:start w:val="1"/>
      <w:numFmt w:val="bullet"/>
      <w:lvlText w:val=""/>
      <w:lvlJc w:val="left"/>
      <w:pPr>
        <w:ind w:left="6534" w:hanging="360"/>
      </w:pPr>
      <w:rPr>
        <w:rFonts w:ascii="Symbol" w:hAnsi="Symbol" w:hint="default"/>
      </w:rPr>
    </w:lvl>
    <w:lvl w:ilvl="7" w:tplc="0C090003" w:tentative="1">
      <w:start w:val="1"/>
      <w:numFmt w:val="bullet"/>
      <w:lvlText w:val="o"/>
      <w:lvlJc w:val="left"/>
      <w:pPr>
        <w:ind w:left="7254" w:hanging="360"/>
      </w:pPr>
      <w:rPr>
        <w:rFonts w:ascii="Courier New" w:hAnsi="Courier New" w:cs="Courier New" w:hint="default"/>
      </w:rPr>
    </w:lvl>
    <w:lvl w:ilvl="8" w:tplc="0C090005" w:tentative="1">
      <w:start w:val="1"/>
      <w:numFmt w:val="bullet"/>
      <w:lvlText w:val=""/>
      <w:lvlJc w:val="left"/>
      <w:pPr>
        <w:ind w:left="7974" w:hanging="360"/>
      </w:pPr>
      <w:rPr>
        <w:rFonts w:ascii="Wingdings" w:hAnsi="Wingdings" w:hint="default"/>
      </w:rPr>
    </w:lvl>
  </w:abstractNum>
  <w:abstractNum w:abstractNumId="24" w15:restartNumberingAfterBreak="0">
    <w:nsid w:val="6906564F"/>
    <w:multiLevelType w:val="hybridMultilevel"/>
    <w:tmpl w:val="05CA59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9CD27B3"/>
    <w:multiLevelType w:val="hybridMultilevel"/>
    <w:tmpl w:val="701E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AD2AAC"/>
    <w:multiLevelType w:val="hybridMultilevel"/>
    <w:tmpl w:val="95043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FCE0CC2"/>
    <w:multiLevelType w:val="hybridMultilevel"/>
    <w:tmpl w:val="2C3C505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B77A13"/>
    <w:multiLevelType w:val="hybridMultilevel"/>
    <w:tmpl w:val="18D05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4A4EB2"/>
    <w:multiLevelType w:val="multilevel"/>
    <w:tmpl w:val="A83A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7D4510"/>
    <w:multiLevelType w:val="hybridMultilevel"/>
    <w:tmpl w:val="61E03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9"/>
  </w:num>
  <w:num w:numId="4">
    <w:abstractNumId w:val="27"/>
  </w:num>
  <w:num w:numId="5">
    <w:abstractNumId w:val="15"/>
  </w:num>
  <w:num w:numId="6">
    <w:abstractNumId w:val="24"/>
  </w:num>
  <w:num w:numId="7">
    <w:abstractNumId w:val="22"/>
  </w:num>
  <w:num w:numId="8">
    <w:abstractNumId w:val="6"/>
  </w:num>
  <w:num w:numId="9">
    <w:abstractNumId w:val="8"/>
  </w:num>
  <w:num w:numId="10">
    <w:abstractNumId w:val="29"/>
  </w:num>
  <w:num w:numId="11">
    <w:abstractNumId w:val="3"/>
  </w:num>
  <w:num w:numId="12">
    <w:abstractNumId w:val="5"/>
  </w:num>
  <w:num w:numId="13">
    <w:abstractNumId w:val="28"/>
  </w:num>
  <w:num w:numId="14">
    <w:abstractNumId w:val="25"/>
  </w:num>
  <w:num w:numId="15">
    <w:abstractNumId w:val="1"/>
  </w:num>
  <w:num w:numId="16">
    <w:abstractNumId w:val="11"/>
  </w:num>
  <w:num w:numId="17">
    <w:abstractNumId w:val="23"/>
  </w:num>
  <w:num w:numId="18">
    <w:abstractNumId w:val="18"/>
  </w:num>
  <w:num w:numId="19">
    <w:abstractNumId w:val="2"/>
  </w:num>
  <w:num w:numId="20">
    <w:abstractNumId w:val="4"/>
  </w:num>
  <w:num w:numId="21">
    <w:abstractNumId w:val="14"/>
  </w:num>
  <w:num w:numId="22">
    <w:abstractNumId w:val="16"/>
  </w:num>
  <w:num w:numId="23">
    <w:abstractNumId w:val="10"/>
  </w:num>
  <w:num w:numId="24">
    <w:abstractNumId w:val="30"/>
  </w:num>
  <w:num w:numId="25">
    <w:abstractNumId w:val="12"/>
  </w:num>
  <w:num w:numId="26">
    <w:abstractNumId w:val="19"/>
  </w:num>
  <w:num w:numId="27">
    <w:abstractNumId w:val="26"/>
  </w:num>
  <w:num w:numId="28">
    <w:abstractNumId w:val="13"/>
  </w:num>
  <w:num w:numId="29">
    <w:abstractNumId w:val="0"/>
  </w:num>
  <w:num w:numId="30">
    <w:abstractNumId w:val="2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FFE"/>
    <w:rsid w:val="00005633"/>
    <w:rsid w:val="00031ABA"/>
    <w:rsid w:val="0003445F"/>
    <w:rsid w:val="00052BBE"/>
    <w:rsid w:val="000645EB"/>
    <w:rsid w:val="000B7A71"/>
    <w:rsid w:val="000D25B7"/>
    <w:rsid w:val="000E7D2A"/>
    <w:rsid w:val="000F1877"/>
    <w:rsid w:val="001240FE"/>
    <w:rsid w:val="00150DC4"/>
    <w:rsid w:val="0015117C"/>
    <w:rsid w:val="00180494"/>
    <w:rsid w:val="001B5881"/>
    <w:rsid w:val="001C76A0"/>
    <w:rsid w:val="001D5B37"/>
    <w:rsid w:val="001E630D"/>
    <w:rsid w:val="001E6A4A"/>
    <w:rsid w:val="001E7394"/>
    <w:rsid w:val="002071B6"/>
    <w:rsid w:val="0021698B"/>
    <w:rsid w:val="002554B9"/>
    <w:rsid w:val="00260778"/>
    <w:rsid w:val="002675D8"/>
    <w:rsid w:val="00284DC9"/>
    <w:rsid w:val="002B3688"/>
    <w:rsid w:val="002D16E0"/>
    <w:rsid w:val="002D4BCE"/>
    <w:rsid w:val="003036B9"/>
    <w:rsid w:val="003042EF"/>
    <w:rsid w:val="00305579"/>
    <w:rsid w:val="0031720D"/>
    <w:rsid w:val="00322E70"/>
    <w:rsid w:val="00333E9A"/>
    <w:rsid w:val="00347F83"/>
    <w:rsid w:val="003B2BB8"/>
    <w:rsid w:val="003C3294"/>
    <w:rsid w:val="003D34FF"/>
    <w:rsid w:val="003E21E0"/>
    <w:rsid w:val="00415F57"/>
    <w:rsid w:val="0042376C"/>
    <w:rsid w:val="00432F29"/>
    <w:rsid w:val="0043712A"/>
    <w:rsid w:val="004373EA"/>
    <w:rsid w:val="00460073"/>
    <w:rsid w:val="00465875"/>
    <w:rsid w:val="004814ED"/>
    <w:rsid w:val="004A4011"/>
    <w:rsid w:val="004A76A5"/>
    <w:rsid w:val="004B54CA"/>
    <w:rsid w:val="004D1A3A"/>
    <w:rsid w:val="004E5CBF"/>
    <w:rsid w:val="004E5CCA"/>
    <w:rsid w:val="00500ABC"/>
    <w:rsid w:val="00503426"/>
    <w:rsid w:val="0051025A"/>
    <w:rsid w:val="00525344"/>
    <w:rsid w:val="005307D5"/>
    <w:rsid w:val="005359AC"/>
    <w:rsid w:val="00542689"/>
    <w:rsid w:val="00544473"/>
    <w:rsid w:val="00545629"/>
    <w:rsid w:val="00562EE1"/>
    <w:rsid w:val="00567C01"/>
    <w:rsid w:val="0058011F"/>
    <w:rsid w:val="005B170E"/>
    <w:rsid w:val="005B2CFA"/>
    <w:rsid w:val="005C2872"/>
    <w:rsid w:val="005C3AA9"/>
    <w:rsid w:val="005E5116"/>
    <w:rsid w:val="005F7717"/>
    <w:rsid w:val="00606BD7"/>
    <w:rsid w:val="00616868"/>
    <w:rsid w:val="00621FC5"/>
    <w:rsid w:val="00622F0C"/>
    <w:rsid w:val="00632EE1"/>
    <w:rsid w:val="00637B02"/>
    <w:rsid w:val="00641A60"/>
    <w:rsid w:val="0065118E"/>
    <w:rsid w:val="00660A6E"/>
    <w:rsid w:val="00683A84"/>
    <w:rsid w:val="006A4CE7"/>
    <w:rsid w:val="006B0030"/>
    <w:rsid w:val="006F2218"/>
    <w:rsid w:val="006F247F"/>
    <w:rsid w:val="006F2BB3"/>
    <w:rsid w:val="006F541F"/>
    <w:rsid w:val="006F7614"/>
    <w:rsid w:val="007050CA"/>
    <w:rsid w:val="007120FD"/>
    <w:rsid w:val="00716652"/>
    <w:rsid w:val="0075587F"/>
    <w:rsid w:val="00785261"/>
    <w:rsid w:val="007A484E"/>
    <w:rsid w:val="007B0256"/>
    <w:rsid w:val="007D630F"/>
    <w:rsid w:val="00825BEC"/>
    <w:rsid w:val="00827AB1"/>
    <w:rsid w:val="0083177B"/>
    <w:rsid w:val="00831B76"/>
    <w:rsid w:val="00833D88"/>
    <w:rsid w:val="00835EC9"/>
    <w:rsid w:val="008457E5"/>
    <w:rsid w:val="00854829"/>
    <w:rsid w:val="00856F8A"/>
    <w:rsid w:val="00867943"/>
    <w:rsid w:val="008749D6"/>
    <w:rsid w:val="00881AFF"/>
    <w:rsid w:val="008A14ED"/>
    <w:rsid w:val="008B0DDB"/>
    <w:rsid w:val="008B6446"/>
    <w:rsid w:val="008E47E6"/>
    <w:rsid w:val="00913824"/>
    <w:rsid w:val="009225F0"/>
    <w:rsid w:val="00922921"/>
    <w:rsid w:val="009316FB"/>
    <w:rsid w:val="0093462C"/>
    <w:rsid w:val="0094299F"/>
    <w:rsid w:val="009452E7"/>
    <w:rsid w:val="00953795"/>
    <w:rsid w:val="00954C6A"/>
    <w:rsid w:val="00957EF9"/>
    <w:rsid w:val="00973E68"/>
    <w:rsid w:val="00974189"/>
    <w:rsid w:val="0097452B"/>
    <w:rsid w:val="0098750E"/>
    <w:rsid w:val="009A5254"/>
    <w:rsid w:val="009A5AEF"/>
    <w:rsid w:val="009E289A"/>
    <w:rsid w:val="009E4FF0"/>
    <w:rsid w:val="009F1113"/>
    <w:rsid w:val="009F47A7"/>
    <w:rsid w:val="00A1007D"/>
    <w:rsid w:val="00A109F5"/>
    <w:rsid w:val="00A10F07"/>
    <w:rsid w:val="00A1590C"/>
    <w:rsid w:val="00A264D2"/>
    <w:rsid w:val="00A27692"/>
    <w:rsid w:val="00A5317B"/>
    <w:rsid w:val="00A6000C"/>
    <w:rsid w:val="00A71CF6"/>
    <w:rsid w:val="00A73FDE"/>
    <w:rsid w:val="00A876F8"/>
    <w:rsid w:val="00AB25A6"/>
    <w:rsid w:val="00AB2A47"/>
    <w:rsid w:val="00AE3DE0"/>
    <w:rsid w:val="00AE5000"/>
    <w:rsid w:val="00AF1211"/>
    <w:rsid w:val="00B0499C"/>
    <w:rsid w:val="00B04ED8"/>
    <w:rsid w:val="00B11055"/>
    <w:rsid w:val="00B40CDE"/>
    <w:rsid w:val="00B65089"/>
    <w:rsid w:val="00B65410"/>
    <w:rsid w:val="00B71C5F"/>
    <w:rsid w:val="00B72D7D"/>
    <w:rsid w:val="00B73017"/>
    <w:rsid w:val="00B91E3E"/>
    <w:rsid w:val="00BA2DB9"/>
    <w:rsid w:val="00BC03FF"/>
    <w:rsid w:val="00BC62AF"/>
    <w:rsid w:val="00BD1434"/>
    <w:rsid w:val="00BE7148"/>
    <w:rsid w:val="00BF4F16"/>
    <w:rsid w:val="00C173D8"/>
    <w:rsid w:val="00C212B3"/>
    <w:rsid w:val="00C3102F"/>
    <w:rsid w:val="00C36514"/>
    <w:rsid w:val="00C81945"/>
    <w:rsid w:val="00C84DD7"/>
    <w:rsid w:val="00C84ECD"/>
    <w:rsid w:val="00CA11A6"/>
    <w:rsid w:val="00CA24FA"/>
    <w:rsid w:val="00CB5863"/>
    <w:rsid w:val="00CC680B"/>
    <w:rsid w:val="00CD2E5F"/>
    <w:rsid w:val="00CE342F"/>
    <w:rsid w:val="00D05AF7"/>
    <w:rsid w:val="00D07B6F"/>
    <w:rsid w:val="00D14BF1"/>
    <w:rsid w:val="00D257E9"/>
    <w:rsid w:val="00D30BE4"/>
    <w:rsid w:val="00D40648"/>
    <w:rsid w:val="00D54003"/>
    <w:rsid w:val="00D840AF"/>
    <w:rsid w:val="00D866DE"/>
    <w:rsid w:val="00DA243A"/>
    <w:rsid w:val="00DC2557"/>
    <w:rsid w:val="00DD6C0E"/>
    <w:rsid w:val="00DE59DC"/>
    <w:rsid w:val="00E03F47"/>
    <w:rsid w:val="00E043D7"/>
    <w:rsid w:val="00E0671D"/>
    <w:rsid w:val="00E21CAB"/>
    <w:rsid w:val="00E27368"/>
    <w:rsid w:val="00E273E4"/>
    <w:rsid w:val="00E345ED"/>
    <w:rsid w:val="00E40E8F"/>
    <w:rsid w:val="00E419BB"/>
    <w:rsid w:val="00E44B1C"/>
    <w:rsid w:val="00E87244"/>
    <w:rsid w:val="00E97BB9"/>
    <w:rsid w:val="00EA2E88"/>
    <w:rsid w:val="00EB5747"/>
    <w:rsid w:val="00EC0B9D"/>
    <w:rsid w:val="00EC489D"/>
    <w:rsid w:val="00EC4B45"/>
    <w:rsid w:val="00ED6AD9"/>
    <w:rsid w:val="00F12FFE"/>
    <w:rsid w:val="00F1397E"/>
    <w:rsid w:val="00F25714"/>
    <w:rsid w:val="00F30AFE"/>
    <w:rsid w:val="00F327F2"/>
    <w:rsid w:val="00F4203E"/>
    <w:rsid w:val="00F51DD7"/>
    <w:rsid w:val="00F8537A"/>
    <w:rsid w:val="00F9248D"/>
    <w:rsid w:val="00F93949"/>
    <w:rsid w:val="00FD2A8D"/>
    <w:rsid w:val="00FE2FEA"/>
    <w:rsid w:val="00FF2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290610"/>
  <w15:chartTrackingRefBased/>
  <w15:docId w15:val="{93743432-B797-4DD9-96E4-2E916A5E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FFE"/>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Bullet Point,Bullet point,Bullet points,CV text,Content descriptions,Dot pt,F5 List Paragraph,L,List Paragraph Number,List Paragraph1,List Paragraph11,List Paragraph111,Medium Grid 1 - Accent 21,Recommendation,Table text"/>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1240FE"/>
    <w:rPr>
      <w:color w:val="0000FF"/>
      <w:u w:val="single"/>
    </w:rPr>
  </w:style>
  <w:style w:type="paragraph" w:styleId="NormalWeb">
    <w:name w:val="Normal (Web)"/>
    <w:basedOn w:val="Normal"/>
    <w:uiPriority w:val="99"/>
    <w:unhideWhenUsed/>
    <w:rsid w:val="001240FE"/>
    <w:pPr>
      <w:spacing w:before="192" w:after="192" w:line="384" w:lineRule="atLeast"/>
    </w:pPr>
    <w:rPr>
      <w:rFonts w:ascii="Times New Roman" w:eastAsia="Times New Roman" w:hAnsi="Times New Roman"/>
      <w:sz w:val="24"/>
      <w:szCs w:val="24"/>
      <w:lang w:eastAsia="en-AU"/>
    </w:rPr>
  </w:style>
  <w:style w:type="table" w:styleId="TableGrid">
    <w:name w:val="Table Grid"/>
    <w:basedOn w:val="TableNormal"/>
    <w:uiPriority w:val="59"/>
    <w:rsid w:val="00931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011F"/>
    <w:pPr>
      <w:autoSpaceDE w:val="0"/>
      <w:autoSpaceDN w:val="0"/>
      <w:adjustRightInd w:val="0"/>
      <w:spacing w:after="0" w:line="240" w:lineRule="auto"/>
    </w:pPr>
    <w:rPr>
      <w:rFonts w:ascii="Arial" w:hAnsi="Arial" w:cs="Arial"/>
      <w:color w:val="000000"/>
      <w:sz w:val="24"/>
      <w:szCs w:val="24"/>
    </w:rPr>
  </w:style>
  <w:style w:type="table" w:styleId="GridTable1Light">
    <w:name w:val="Grid Table 1 Light"/>
    <w:basedOn w:val="TableNormal"/>
    <w:uiPriority w:val="46"/>
    <w:rsid w:val="0003445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D05AF7"/>
    <w:rPr>
      <w:sz w:val="16"/>
      <w:szCs w:val="16"/>
    </w:rPr>
  </w:style>
  <w:style w:type="paragraph" w:styleId="CommentText">
    <w:name w:val="annotation text"/>
    <w:basedOn w:val="Normal"/>
    <w:link w:val="CommentTextChar"/>
    <w:uiPriority w:val="99"/>
    <w:semiHidden/>
    <w:unhideWhenUsed/>
    <w:rsid w:val="00D05AF7"/>
    <w:rPr>
      <w:sz w:val="20"/>
      <w:szCs w:val="20"/>
    </w:rPr>
  </w:style>
  <w:style w:type="character" w:customStyle="1" w:styleId="CommentTextChar">
    <w:name w:val="Comment Text Char"/>
    <w:basedOn w:val="DefaultParagraphFont"/>
    <w:link w:val="CommentText"/>
    <w:uiPriority w:val="99"/>
    <w:semiHidden/>
    <w:rsid w:val="00D05AF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05AF7"/>
    <w:rPr>
      <w:b/>
      <w:bCs/>
    </w:rPr>
  </w:style>
  <w:style w:type="character" w:customStyle="1" w:styleId="CommentSubjectChar">
    <w:name w:val="Comment Subject Char"/>
    <w:basedOn w:val="CommentTextChar"/>
    <w:link w:val="CommentSubject"/>
    <w:uiPriority w:val="99"/>
    <w:semiHidden/>
    <w:rsid w:val="00D05AF7"/>
    <w:rPr>
      <w:rFonts w:ascii="Calibri" w:hAnsi="Calibri" w:cs="Times New Roman"/>
      <w:b/>
      <w:bCs/>
      <w:sz w:val="20"/>
      <w:szCs w:val="20"/>
    </w:rPr>
  </w:style>
  <w:style w:type="paragraph" w:styleId="BalloonText">
    <w:name w:val="Balloon Text"/>
    <w:basedOn w:val="Normal"/>
    <w:link w:val="BalloonTextChar"/>
    <w:uiPriority w:val="99"/>
    <w:semiHidden/>
    <w:unhideWhenUsed/>
    <w:rsid w:val="00D05A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AF7"/>
    <w:rPr>
      <w:rFonts w:ascii="Segoe UI" w:hAnsi="Segoe UI" w:cs="Segoe UI"/>
      <w:sz w:val="18"/>
      <w:szCs w:val="18"/>
    </w:rPr>
  </w:style>
  <w:style w:type="character" w:styleId="FollowedHyperlink">
    <w:name w:val="FollowedHyperlink"/>
    <w:basedOn w:val="DefaultParagraphFont"/>
    <w:uiPriority w:val="99"/>
    <w:semiHidden/>
    <w:unhideWhenUsed/>
    <w:rsid w:val="008E47E6"/>
    <w:rPr>
      <w:color w:val="800080" w:themeColor="followedHyperlink"/>
      <w:u w:val="single"/>
    </w:rPr>
  </w:style>
  <w:style w:type="paragraph" w:styleId="Revision">
    <w:name w:val="Revision"/>
    <w:hidden/>
    <w:uiPriority w:val="99"/>
    <w:semiHidden/>
    <w:rsid w:val="006F2218"/>
    <w:pPr>
      <w:spacing w:after="0" w:line="240" w:lineRule="auto"/>
    </w:pPr>
    <w:rPr>
      <w:rFonts w:ascii="Calibri" w:hAnsi="Calibri" w:cs="Times New Roman"/>
    </w:rPr>
  </w:style>
  <w:style w:type="character" w:customStyle="1" w:styleId="ListParagraphChar">
    <w:name w:val="List Paragraph Char"/>
    <w:aliases w:val="#List Paragraph Char,Bullet Point Char,Bullet point Char,Bullet points Char,CV text Char,Content descriptions Char,Dot pt Char,F5 List Paragraph Char,L Char,List Paragraph Number Char,List Paragraph1 Char,List Paragraph11 Char"/>
    <w:basedOn w:val="DefaultParagraphFont"/>
    <w:link w:val="ListParagraph"/>
    <w:uiPriority w:val="34"/>
    <w:locked/>
    <w:rsid w:val="00CD2E5F"/>
    <w:rPr>
      <w:rFonts w:ascii="Calibri" w:hAnsi="Calibri" w:cs="Times New Roman"/>
    </w:rPr>
  </w:style>
  <w:style w:type="paragraph" w:styleId="TOC3">
    <w:name w:val="toc 3"/>
    <w:basedOn w:val="Normal"/>
    <w:next w:val="Normal"/>
    <w:autoRedefine/>
    <w:uiPriority w:val="39"/>
    <w:unhideWhenUsed/>
    <w:rsid w:val="00CD2E5F"/>
    <w:pPr>
      <w:spacing w:after="100" w:line="276" w:lineRule="auto"/>
      <w:ind w:left="440"/>
    </w:pPr>
    <w:rPr>
      <w:rFonts w:ascii="Arial" w:hAnsi="Arial" w:cstheme="minorBidi"/>
    </w:rPr>
  </w:style>
  <w:style w:type="paragraph" w:styleId="TOC2">
    <w:name w:val="toc 2"/>
    <w:basedOn w:val="Normal"/>
    <w:next w:val="Normal"/>
    <w:autoRedefine/>
    <w:uiPriority w:val="39"/>
    <w:unhideWhenUsed/>
    <w:rsid w:val="00CD2E5F"/>
    <w:pPr>
      <w:spacing w:after="100" w:line="276" w:lineRule="auto"/>
      <w:ind w:left="220"/>
    </w:pPr>
    <w:rPr>
      <w:rFonts w:ascii="Arial" w:hAnsi="Arial" w:cstheme="minorBidi"/>
    </w:rPr>
  </w:style>
  <w:style w:type="paragraph" w:styleId="ListBullet">
    <w:name w:val="List Bullet"/>
    <w:basedOn w:val="Normal"/>
    <w:uiPriority w:val="99"/>
    <w:semiHidden/>
    <w:unhideWhenUsed/>
    <w:qFormat/>
    <w:rsid w:val="00716652"/>
    <w:pPr>
      <w:numPr>
        <w:numId w:val="29"/>
      </w:numPr>
      <w:tabs>
        <w:tab w:val="left" w:pos="170"/>
      </w:tabs>
      <w:spacing w:before="60" w:after="60" w:line="240" w:lineRule="atLeast"/>
    </w:pPr>
    <w:rPr>
      <w:rFonts w:asciiTheme="majorHAnsi" w:eastAsia="Times New Roman" w:hAnsiTheme="majorHAnsi"/>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140269">
      <w:bodyDiv w:val="1"/>
      <w:marLeft w:val="0"/>
      <w:marRight w:val="0"/>
      <w:marTop w:val="0"/>
      <w:marBottom w:val="0"/>
      <w:divBdr>
        <w:top w:val="none" w:sz="0" w:space="0" w:color="auto"/>
        <w:left w:val="none" w:sz="0" w:space="0" w:color="auto"/>
        <w:bottom w:val="none" w:sz="0" w:space="0" w:color="auto"/>
        <w:right w:val="none" w:sz="0" w:space="0" w:color="auto"/>
      </w:divBdr>
    </w:div>
    <w:div w:id="367921043">
      <w:bodyDiv w:val="1"/>
      <w:marLeft w:val="0"/>
      <w:marRight w:val="0"/>
      <w:marTop w:val="0"/>
      <w:marBottom w:val="0"/>
      <w:divBdr>
        <w:top w:val="none" w:sz="0" w:space="0" w:color="auto"/>
        <w:left w:val="none" w:sz="0" w:space="0" w:color="auto"/>
        <w:bottom w:val="none" w:sz="0" w:space="0" w:color="auto"/>
        <w:right w:val="none" w:sz="0" w:space="0" w:color="auto"/>
      </w:divBdr>
    </w:div>
    <w:div w:id="547452300">
      <w:bodyDiv w:val="1"/>
      <w:marLeft w:val="0"/>
      <w:marRight w:val="0"/>
      <w:marTop w:val="0"/>
      <w:marBottom w:val="0"/>
      <w:divBdr>
        <w:top w:val="none" w:sz="0" w:space="0" w:color="auto"/>
        <w:left w:val="none" w:sz="0" w:space="0" w:color="auto"/>
        <w:bottom w:val="none" w:sz="0" w:space="0" w:color="auto"/>
        <w:right w:val="none" w:sz="0" w:space="0" w:color="auto"/>
      </w:divBdr>
    </w:div>
    <w:div w:id="553272546">
      <w:bodyDiv w:val="1"/>
      <w:marLeft w:val="0"/>
      <w:marRight w:val="0"/>
      <w:marTop w:val="0"/>
      <w:marBottom w:val="0"/>
      <w:divBdr>
        <w:top w:val="none" w:sz="0" w:space="0" w:color="auto"/>
        <w:left w:val="none" w:sz="0" w:space="0" w:color="auto"/>
        <w:bottom w:val="none" w:sz="0" w:space="0" w:color="auto"/>
        <w:right w:val="none" w:sz="0" w:space="0" w:color="auto"/>
      </w:divBdr>
      <w:divsChild>
        <w:div w:id="1726491045">
          <w:marLeft w:val="0"/>
          <w:marRight w:val="0"/>
          <w:marTop w:val="0"/>
          <w:marBottom w:val="0"/>
          <w:divBdr>
            <w:top w:val="none" w:sz="0" w:space="0" w:color="auto"/>
            <w:left w:val="none" w:sz="0" w:space="0" w:color="auto"/>
            <w:bottom w:val="none" w:sz="0" w:space="0" w:color="auto"/>
            <w:right w:val="none" w:sz="0" w:space="0" w:color="auto"/>
          </w:divBdr>
          <w:divsChild>
            <w:div w:id="546065980">
              <w:marLeft w:val="0"/>
              <w:marRight w:val="0"/>
              <w:marTop w:val="0"/>
              <w:marBottom w:val="0"/>
              <w:divBdr>
                <w:top w:val="none" w:sz="0" w:space="0" w:color="auto"/>
                <w:left w:val="none" w:sz="0" w:space="0" w:color="auto"/>
                <w:bottom w:val="none" w:sz="0" w:space="0" w:color="auto"/>
                <w:right w:val="none" w:sz="0" w:space="0" w:color="auto"/>
              </w:divBdr>
              <w:divsChild>
                <w:div w:id="1176725949">
                  <w:marLeft w:val="0"/>
                  <w:marRight w:val="0"/>
                  <w:marTop w:val="0"/>
                  <w:marBottom w:val="0"/>
                  <w:divBdr>
                    <w:top w:val="none" w:sz="0" w:space="0" w:color="auto"/>
                    <w:left w:val="none" w:sz="0" w:space="0" w:color="auto"/>
                    <w:bottom w:val="none" w:sz="0" w:space="0" w:color="auto"/>
                    <w:right w:val="none" w:sz="0" w:space="0" w:color="auto"/>
                  </w:divBdr>
                  <w:divsChild>
                    <w:div w:id="12269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35205">
      <w:bodyDiv w:val="1"/>
      <w:marLeft w:val="0"/>
      <w:marRight w:val="0"/>
      <w:marTop w:val="0"/>
      <w:marBottom w:val="0"/>
      <w:divBdr>
        <w:top w:val="none" w:sz="0" w:space="0" w:color="auto"/>
        <w:left w:val="none" w:sz="0" w:space="0" w:color="auto"/>
        <w:bottom w:val="none" w:sz="0" w:space="0" w:color="auto"/>
        <w:right w:val="none" w:sz="0" w:space="0" w:color="auto"/>
      </w:divBdr>
    </w:div>
    <w:div w:id="884172135">
      <w:bodyDiv w:val="1"/>
      <w:marLeft w:val="0"/>
      <w:marRight w:val="0"/>
      <w:marTop w:val="0"/>
      <w:marBottom w:val="0"/>
      <w:divBdr>
        <w:top w:val="none" w:sz="0" w:space="0" w:color="auto"/>
        <w:left w:val="none" w:sz="0" w:space="0" w:color="auto"/>
        <w:bottom w:val="none" w:sz="0" w:space="0" w:color="auto"/>
        <w:right w:val="none" w:sz="0" w:space="0" w:color="auto"/>
      </w:divBdr>
    </w:div>
    <w:div w:id="974682425">
      <w:bodyDiv w:val="1"/>
      <w:marLeft w:val="0"/>
      <w:marRight w:val="0"/>
      <w:marTop w:val="0"/>
      <w:marBottom w:val="0"/>
      <w:divBdr>
        <w:top w:val="none" w:sz="0" w:space="0" w:color="auto"/>
        <w:left w:val="none" w:sz="0" w:space="0" w:color="auto"/>
        <w:bottom w:val="none" w:sz="0" w:space="0" w:color="auto"/>
        <w:right w:val="none" w:sz="0" w:space="0" w:color="auto"/>
      </w:divBdr>
    </w:div>
    <w:div w:id="1272395486">
      <w:bodyDiv w:val="1"/>
      <w:marLeft w:val="0"/>
      <w:marRight w:val="0"/>
      <w:marTop w:val="0"/>
      <w:marBottom w:val="0"/>
      <w:divBdr>
        <w:top w:val="none" w:sz="0" w:space="0" w:color="auto"/>
        <w:left w:val="none" w:sz="0" w:space="0" w:color="auto"/>
        <w:bottom w:val="none" w:sz="0" w:space="0" w:color="auto"/>
        <w:right w:val="none" w:sz="0" w:space="0" w:color="auto"/>
      </w:divBdr>
    </w:div>
    <w:div w:id="187650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s.gov.au/statistics/standards/standard-sex-gender-variations-sex-characteristics-and-sexual-orientation-variables/latest-relea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DEA44-9159-44A5-8AEA-152B37541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4613</Characters>
  <Application>Microsoft Office Word</Application>
  <DocSecurity>4</DocSecurity>
  <Lines>93</Lines>
  <Paragraphs>52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HOLROYD, Liza</dc:creator>
  <cp:keywords>[SEC=OFFICIAL]</cp:keywords>
  <dc:description/>
  <cp:lastModifiedBy>HOLROYD, Liza</cp:lastModifiedBy>
  <cp:revision>2</cp:revision>
  <dcterms:created xsi:type="dcterms:W3CDTF">2023-11-07T02:39:00Z</dcterms:created>
  <dcterms:modified xsi:type="dcterms:W3CDTF">2023-11-07T02:39:00Z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643942D598444989AD69C20469D04817</vt:lpwstr>
  </property>
  <property fmtid="{D5CDD505-2E9C-101B-9397-08002B2CF9AE}" pid="9" name="PM_ProtectiveMarkingValue_Footer">
    <vt:lpwstr>OFFICIAL</vt:lpwstr>
  </property>
  <property fmtid="{D5CDD505-2E9C-101B-9397-08002B2CF9AE}" pid="10" name="PM_Originator_Hash_SHA1">
    <vt:lpwstr>166C739136D6F12D78B708FF5C14E2A407F5B74F</vt:lpwstr>
  </property>
  <property fmtid="{D5CDD505-2E9C-101B-9397-08002B2CF9AE}" pid="11" name="PM_OriginationTimeStamp">
    <vt:lpwstr>2023-11-07T02:38:29Z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D336E85DA5B048516966D52190C80932</vt:lpwstr>
  </property>
  <property fmtid="{D5CDD505-2E9C-101B-9397-08002B2CF9AE}" pid="21" name="PM_Hash_Salt">
    <vt:lpwstr>D31DB33EE5935A0F4AEC639931002DE0</vt:lpwstr>
  </property>
  <property fmtid="{D5CDD505-2E9C-101B-9397-08002B2CF9AE}" pid="22" name="PM_Hash_SHA1">
    <vt:lpwstr>4424A608AA6E5033C0457F230D44D152BB5F31EC</vt:lpwstr>
  </property>
  <property fmtid="{D5CDD505-2E9C-101B-9397-08002B2CF9AE}" pid="23" name="PM_OriginatorUserAccountName_SHA256">
    <vt:lpwstr>3CB8D739B030A7AD657A81891535210E4852A3D4C3520D97D88B240B94E999AD</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