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8CEB" w14:textId="100DD34B" w:rsidR="00A62FAE" w:rsidRPr="00862594" w:rsidRDefault="00141857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Update participation in the Partnership Approach</w:t>
      </w:r>
      <w:r w:rsidR="009A44D1">
        <w:rPr>
          <w:rStyle w:val="TitleChar"/>
          <w:rFonts w:ascii="Georgia" w:hAnsi="Georgia" w:cs="Arial"/>
          <w:b w:val="0"/>
          <w:color w:val="04617B" w:themeColor="text2"/>
        </w:rPr>
        <w:tab/>
      </w:r>
    </w:p>
    <w:p w14:paraId="74CAEB7C" w14:textId="77777777" w:rsidR="009B6E87" w:rsidRPr="00117CAA" w:rsidRDefault="009B6E87" w:rsidP="009B6E87">
      <w:pPr>
        <w:pStyle w:val="Heading2"/>
        <w:spacing w:before="120" w:after="120" w:line="288" w:lineRule="auto"/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</w:pPr>
      <w:bookmarkStart w:id="0" w:name="_Toc476063787"/>
      <w:r w:rsidRPr="00117CAA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Task card </w:t>
      </w:r>
    </w:p>
    <w:p w14:paraId="27B8E544" w14:textId="77777777" w:rsidR="00784EA9" w:rsidRPr="00F96BB5" w:rsidRDefault="00784EA9" w:rsidP="00784EA9">
      <w:pPr>
        <w:pStyle w:val="Heading2"/>
        <w:spacing w:before="120" w:after="120" w:line="288" w:lineRule="auto"/>
        <w:rPr>
          <w:rFonts w:ascii="Arial" w:hAnsi="Arial" w:cs="Arial"/>
          <w:b w:val="0"/>
          <w:sz w:val="22"/>
          <w:szCs w:val="22"/>
        </w:rPr>
      </w:pPr>
      <w:r w:rsidRPr="00F96BB5">
        <w:rPr>
          <w:rFonts w:ascii="Arial" w:hAnsi="Arial" w:cs="Arial"/>
          <w:b w:val="0"/>
          <w:sz w:val="22"/>
          <w:szCs w:val="22"/>
        </w:rPr>
        <w:t xml:space="preserve">This task card </w:t>
      </w:r>
      <w:r w:rsidR="00B06AF3">
        <w:rPr>
          <w:rFonts w:ascii="Arial" w:hAnsi="Arial" w:cs="Arial"/>
          <w:b w:val="0"/>
          <w:sz w:val="22"/>
          <w:szCs w:val="22"/>
        </w:rPr>
        <w:t>discusses the following</w:t>
      </w:r>
      <w:r w:rsidRPr="00F96BB5">
        <w:rPr>
          <w:rFonts w:ascii="Arial" w:hAnsi="Arial" w:cs="Arial"/>
          <w:b w:val="0"/>
          <w:sz w:val="22"/>
          <w:szCs w:val="22"/>
        </w:rPr>
        <w:t>:</w:t>
      </w:r>
    </w:p>
    <w:p w14:paraId="614E8F3A" w14:textId="44549320" w:rsidR="00784EA9" w:rsidRDefault="004658A9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How_to_update" w:history="1">
        <w:r w:rsidR="00784EA9" w:rsidRP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How to update participation in the </w:t>
        </w:r>
        <w:r w:rsidR="000D1C79">
          <w:rPr>
            <w:rStyle w:val="Hyperlink"/>
            <w:rFonts w:ascii="Arial" w:eastAsiaTheme="majorEastAsia" w:hAnsi="Arial" w:cs="Arial"/>
            <w:bCs/>
            <w:sz w:val="22"/>
          </w:rPr>
          <w:t>Partnership A</w:t>
        </w:r>
        <w:r w:rsidR="00F17AFF" w:rsidRPr="00155539">
          <w:rPr>
            <w:rStyle w:val="Hyperlink"/>
            <w:rFonts w:ascii="Arial" w:eastAsiaTheme="majorEastAsia" w:hAnsi="Arial" w:cs="Arial"/>
            <w:bCs/>
            <w:sz w:val="22"/>
          </w:rPr>
          <w:t>pproach</w:t>
        </w:r>
      </w:hyperlink>
    </w:p>
    <w:p w14:paraId="1DD98D6C" w14:textId="49B134D4" w:rsidR="001E298A" w:rsidRPr="00481DBA" w:rsidRDefault="00481DBA" w:rsidP="00F17AFF">
      <w:pPr>
        <w:pStyle w:val="ListParagraph"/>
        <w:numPr>
          <w:ilvl w:val="1"/>
          <w:numId w:val="4"/>
        </w:numPr>
        <w:rPr>
          <w:rStyle w:val="Hyperlink"/>
          <w:rFonts w:ascii="Arial" w:eastAsiaTheme="majorEastAsia" w:hAnsi="Arial" w:cs="Arial"/>
          <w:bCs/>
          <w:sz w:val="22"/>
        </w:rPr>
      </w:pPr>
      <w:r>
        <w:rPr>
          <w:rStyle w:val="Hyperlink"/>
          <w:rFonts w:ascii="Arial" w:eastAsiaTheme="majorEastAsia" w:hAnsi="Arial" w:cs="Arial"/>
          <w:bCs/>
          <w:sz w:val="22"/>
        </w:rPr>
        <w:fldChar w:fldCharType="begin"/>
      </w:r>
      <w:r>
        <w:rPr>
          <w:rStyle w:val="Hyperlink"/>
          <w:rFonts w:ascii="Arial" w:eastAsiaTheme="majorEastAsia" w:hAnsi="Arial" w:cs="Arial"/>
          <w:bCs/>
          <w:sz w:val="22"/>
        </w:rPr>
        <w:instrText xml:space="preserve"> HYPERLINK  \l "_Part_A_-_1" </w:instrText>
      </w:r>
      <w:r>
        <w:rPr>
          <w:rStyle w:val="Hyperlink"/>
          <w:rFonts w:ascii="Arial" w:eastAsiaTheme="majorEastAsia" w:hAnsi="Arial" w:cs="Arial"/>
          <w:bCs/>
          <w:sz w:val="22"/>
        </w:rPr>
        <w:fldChar w:fldCharType="separate"/>
      </w:r>
      <w:r w:rsidR="000D6966" w:rsidRPr="00481DBA">
        <w:rPr>
          <w:rStyle w:val="Hyperlink"/>
          <w:rFonts w:ascii="Arial" w:eastAsiaTheme="majorEastAsia" w:hAnsi="Arial" w:cs="Arial"/>
          <w:bCs/>
          <w:sz w:val="22"/>
        </w:rPr>
        <w:t xml:space="preserve">Part A - </w:t>
      </w:r>
      <w:r w:rsidR="001E298A" w:rsidRPr="00481DBA">
        <w:rPr>
          <w:rStyle w:val="Hyperlink"/>
          <w:rFonts w:ascii="Arial" w:eastAsiaTheme="majorEastAsia" w:hAnsi="Arial" w:cs="Arial"/>
          <w:bCs/>
          <w:sz w:val="22"/>
        </w:rPr>
        <w:t>At the organisation level</w:t>
      </w:r>
    </w:p>
    <w:p w14:paraId="3E132A8C" w14:textId="06DFD75A" w:rsidR="001E298A" w:rsidRPr="00F17AFF" w:rsidRDefault="00481DBA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r>
        <w:rPr>
          <w:rStyle w:val="Hyperlink"/>
          <w:rFonts w:ascii="Arial" w:eastAsiaTheme="majorEastAsia" w:hAnsi="Arial" w:cs="Arial"/>
          <w:bCs/>
          <w:sz w:val="22"/>
        </w:rPr>
        <w:fldChar w:fldCharType="end"/>
      </w:r>
      <w:hyperlink w:anchor="_Part_B_-" w:history="1">
        <w:r w:rsidR="000D6966" w:rsidRPr="005A6CA6">
          <w:rPr>
            <w:rStyle w:val="Hyperlink"/>
            <w:rFonts w:ascii="Arial" w:eastAsiaTheme="majorEastAsia" w:hAnsi="Arial" w:cs="Arial"/>
            <w:bCs/>
            <w:sz w:val="22"/>
          </w:rPr>
          <w:t xml:space="preserve">Part B - </w:t>
        </w:r>
        <w:r w:rsidR="001E298A" w:rsidRPr="005A6CA6">
          <w:rPr>
            <w:rStyle w:val="Hyperlink"/>
            <w:rFonts w:ascii="Arial" w:eastAsiaTheme="majorEastAsia" w:hAnsi="Arial" w:cs="Arial"/>
            <w:bCs/>
            <w:sz w:val="22"/>
          </w:rPr>
          <w:t>At the program activity level</w:t>
        </w:r>
      </w:hyperlink>
    </w:p>
    <w:p w14:paraId="169EA69D" w14:textId="77777777" w:rsidR="00784EA9" w:rsidRPr="00F17AFF" w:rsidRDefault="00784EA9" w:rsidP="00F17AFF">
      <w:pPr>
        <w:pStyle w:val="Default"/>
        <w:spacing w:before="120" w:after="120" w:line="288" w:lineRule="auto"/>
        <w:rPr>
          <w:rFonts w:ascii="Arial" w:eastAsiaTheme="majorEastAsia" w:hAnsi="Arial" w:cs="Arial"/>
          <w:bCs/>
          <w:color w:val="auto"/>
          <w:sz w:val="6"/>
          <w:szCs w:val="22"/>
          <w:lang w:eastAsia="en-US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§ Any sensitive information, such as a person’s home address or a protected location such as a refuge should not be included in an outlet’s name.You cannot create or edit outlets that have identical name and locality as an existing outlet.&#10;Each outlet must be assigned the program activity(s) that it delivers.&#10;Program activities are pre-loaded from your grant agreement. You will not be able to select a program your organisation is not funded to deliver.&#10;Your program activity start and end date is pre-populated from your funding agreement.&#10;Outlet approval can take up to 5 business days.&#10;&#10;"/>
      </w:tblPr>
      <w:tblGrid>
        <w:gridCol w:w="10408"/>
      </w:tblGrid>
      <w:tr w:rsidR="00B06AF3" w:rsidRPr="007B2BB9" w14:paraId="1659EBE0" w14:textId="77777777" w:rsidTr="00214D7D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5F6A916D" w14:textId="77777777" w:rsidR="00B06AF3" w:rsidRPr="007B2BB9" w:rsidRDefault="00B06AF3" w:rsidP="00214D7D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B06AF3" w:rsidRPr="00862594" w14:paraId="78F2F8C0" w14:textId="77777777" w:rsidTr="00214D7D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6395EEB5" w14:textId="77777777" w:rsidR="00141857" w:rsidRPr="009618D3" w:rsidRDefault="00141857" w:rsidP="00141857">
            <w:pPr>
              <w:pStyle w:val="Bullet1"/>
              <w:numPr>
                <w:ilvl w:val="0"/>
                <w:numId w:val="8"/>
              </w:numPr>
              <w:spacing w:before="120" w:after="120" w:line="28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Requirements for participation in the partnership approach may be specified in the grant opportunity guidelines or your grant agreement.</w:t>
            </w:r>
          </w:p>
          <w:p w14:paraId="180E8666" w14:textId="77777777" w:rsidR="009919E7" w:rsidRPr="001F5649" w:rsidRDefault="00141857" w:rsidP="001F5649">
            <w:pPr>
              <w:pStyle w:val="Bullet1"/>
              <w:numPr>
                <w:ilvl w:val="0"/>
                <w:numId w:val="8"/>
              </w:numPr>
              <w:spacing w:before="120" w:after="120" w:line="288" w:lineRule="auto"/>
              <w:rPr>
                <w:rFonts w:ascii="Arial" w:hAnsi="Arial" w:cs="Arial"/>
                <w:sz w:val="22"/>
              </w:rPr>
            </w:pPr>
            <w:r w:rsidRPr="001F5649">
              <w:rPr>
                <w:rFonts w:ascii="Arial" w:hAnsi="Arial" w:cs="Arial"/>
                <w:sz w:val="22"/>
              </w:rPr>
              <w:t>Opting in to the Partnership Approach will provide your organisation with access to a number of extra partnership reports.</w:t>
            </w:r>
          </w:p>
          <w:p w14:paraId="2E972F01" w14:textId="4E9A2BD7" w:rsidR="00141857" w:rsidRPr="00026468" w:rsidRDefault="00141857" w:rsidP="00FF3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your funding arrangement manager for more information.</w:t>
            </w:r>
          </w:p>
        </w:tc>
      </w:tr>
    </w:tbl>
    <w:p w14:paraId="1A71AC42" w14:textId="1DFA6C83" w:rsidR="00046AD2" w:rsidRPr="00155539" w:rsidRDefault="00046AD2" w:rsidP="00155539">
      <w:pPr>
        <w:pStyle w:val="Heading3"/>
        <w:rPr>
          <w:rFonts w:ascii="Arial" w:hAnsi="Arial" w:cs="Arial"/>
          <w:sz w:val="26"/>
          <w:szCs w:val="26"/>
        </w:rPr>
      </w:pPr>
      <w:bookmarkStart w:id="1" w:name="_What_is_an"/>
      <w:bookmarkStart w:id="2" w:name="_Add_a_program"/>
      <w:bookmarkStart w:id="3" w:name="_How_to_update"/>
      <w:bookmarkEnd w:id="0"/>
      <w:bookmarkEnd w:id="1"/>
      <w:bookmarkEnd w:id="2"/>
      <w:bookmarkEnd w:id="3"/>
      <w:r w:rsidRPr="00155539">
        <w:rPr>
          <w:rFonts w:ascii="Arial" w:hAnsi="Arial" w:cs="Arial"/>
          <w:sz w:val="26"/>
          <w:szCs w:val="26"/>
        </w:rPr>
        <w:t xml:space="preserve">How to update participation in the </w:t>
      </w:r>
      <w:r w:rsidR="000D1C79">
        <w:rPr>
          <w:rFonts w:ascii="Arial" w:hAnsi="Arial" w:cs="Arial"/>
          <w:sz w:val="26"/>
          <w:szCs w:val="26"/>
        </w:rPr>
        <w:t>P</w:t>
      </w:r>
      <w:r w:rsidRPr="00155539">
        <w:rPr>
          <w:rFonts w:ascii="Arial" w:hAnsi="Arial" w:cs="Arial"/>
          <w:sz w:val="26"/>
          <w:szCs w:val="26"/>
        </w:rPr>
        <w:t xml:space="preserve">artnership </w:t>
      </w:r>
      <w:r w:rsidR="000D1C79">
        <w:rPr>
          <w:rFonts w:ascii="Arial" w:hAnsi="Arial" w:cs="Arial"/>
          <w:sz w:val="26"/>
          <w:szCs w:val="26"/>
        </w:rPr>
        <w:t>A</w:t>
      </w:r>
      <w:r w:rsidRPr="00155539">
        <w:rPr>
          <w:rFonts w:ascii="Arial" w:hAnsi="Arial" w:cs="Arial"/>
          <w:sz w:val="26"/>
          <w:szCs w:val="26"/>
        </w:rPr>
        <w:t>pproach</w:t>
      </w:r>
    </w:p>
    <w:p w14:paraId="15EA27B0" w14:textId="065532C7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Your organisation can elect to opt in or out of the </w:t>
      </w:r>
      <w:r w:rsidR="000D1C79">
        <w:rPr>
          <w:rFonts w:ascii="Arial" w:hAnsi="Arial" w:cs="Arial"/>
          <w:sz w:val="22"/>
        </w:rPr>
        <w:t>P</w:t>
      </w:r>
      <w:r w:rsidR="00F17AFF">
        <w:rPr>
          <w:rFonts w:ascii="Arial" w:hAnsi="Arial" w:cs="Arial"/>
          <w:sz w:val="22"/>
        </w:rPr>
        <w:t xml:space="preserve">artnership </w:t>
      </w:r>
      <w:r w:rsidR="000D1C79">
        <w:rPr>
          <w:rFonts w:ascii="Arial" w:hAnsi="Arial" w:cs="Arial"/>
          <w:sz w:val="22"/>
        </w:rPr>
        <w:t>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for one, some or all of the program activities your organisation delivers. </w:t>
      </w:r>
      <w:r w:rsidR="000D1C79">
        <w:rPr>
          <w:rFonts w:ascii="Arial" w:hAnsi="Arial" w:cs="Arial"/>
          <w:sz w:val="22"/>
        </w:rPr>
        <w:t>Opting in to the Partnership A</w:t>
      </w:r>
      <w:r w:rsidR="00732062">
        <w:rPr>
          <w:rFonts w:ascii="Arial" w:hAnsi="Arial" w:cs="Arial"/>
          <w:sz w:val="22"/>
        </w:rPr>
        <w:t>pproach will provide</w:t>
      </w:r>
      <w:r w:rsidR="00155539">
        <w:rPr>
          <w:rFonts w:ascii="Arial" w:hAnsi="Arial" w:cs="Arial"/>
          <w:sz w:val="22"/>
        </w:rPr>
        <w:t xml:space="preserve"> your organisation with access to a rich data source of partnership reports which includes extra demographic and outcomes information.</w:t>
      </w:r>
      <w:r w:rsidR="00B673ED">
        <w:rPr>
          <w:rFonts w:ascii="Arial" w:hAnsi="Arial" w:cs="Arial"/>
          <w:sz w:val="22"/>
        </w:rPr>
        <w:t xml:space="preserve"> Requirements for participation in the partnership approach may be specified in the grant opportunity guidelines or your grant agreement.</w:t>
      </w:r>
    </w:p>
    <w:p w14:paraId="530137E5" w14:textId="3F65B3F4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>Changes to your organisation's participation in</w:t>
      </w:r>
      <w:r w:rsidR="00664762">
        <w:rPr>
          <w:rFonts w:ascii="Arial" w:hAnsi="Arial" w:cs="Arial"/>
          <w:sz w:val="22"/>
        </w:rPr>
        <w:t xml:space="preserve">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="00664762">
        <w:rPr>
          <w:rFonts w:ascii="Arial" w:hAnsi="Arial" w:cs="Arial"/>
          <w:sz w:val="22"/>
        </w:rPr>
        <w:t xml:space="preserve"> must </w:t>
      </w:r>
      <w:r w:rsidRPr="009618D3">
        <w:rPr>
          <w:rFonts w:ascii="Arial" w:hAnsi="Arial" w:cs="Arial"/>
          <w:sz w:val="22"/>
        </w:rPr>
        <w:t xml:space="preserve">be reflected in your grant agreement. Contact your </w:t>
      </w:r>
      <w:r w:rsidR="00141857">
        <w:rPr>
          <w:rFonts w:ascii="Arial" w:hAnsi="Arial" w:cs="Arial"/>
          <w:sz w:val="22"/>
        </w:rPr>
        <w:t>funding arrangement</w:t>
      </w:r>
      <w:r w:rsidRPr="009618D3">
        <w:rPr>
          <w:rFonts w:ascii="Arial" w:hAnsi="Arial" w:cs="Arial"/>
          <w:sz w:val="22"/>
        </w:rPr>
        <w:t xml:space="preserve"> manager to discuss this further.</w:t>
      </w:r>
    </w:p>
    <w:p w14:paraId="70CA256E" w14:textId="5364581A" w:rsidR="00664762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Once your grant agreement has been updated, your organisation will be able to access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reports</w:t>
      </w:r>
      <w:r w:rsidR="00D149B0">
        <w:rPr>
          <w:rFonts w:ascii="Arial" w:hAnsi="Arial" w:cs="Arial"/>
          <w:sz w:val="22"/>
        </w:rPr>
        <w:t xml:space="preserve"> however </w:t>
      </w:r>
      <w:r w:rsidR="00987059">
        <w:rPr>
          <w:rFonts w:ascii="Arial" w:hAnsi="Arial" w:cs="Arial"/>
          <w:sz w:val="22"/>
        </w:rPr>
        <w:t>you can start entering the data at any time</w:t>
      </w:r>
      <w:r w:rsidR="00664762">
        <w:rPr>
          <w:rFonts w:ascii="Arial" w:hAnsi="Arial" w:cs="Arial"/>
          <w:sz w:val="22"/>
        </w:rPr>
        <w:t>.</w:t>
      </w:r>
      <w:r w:rsidRPr="009618D3">
        <w:rPr>
          <w:rFonts w:ascii="Arial" w:hAnsi="Arial" w:cs="Arial"/>
          <w:sz w:val="22"/>
        </w:rPr>
        <w:t xml:space="preserve"> </w:t>
      </w:r>
    </w:p>
    <w:p w14:paraId="160AD39E" w14:textId="09B618B6" w:rsidR="00046AD2" w:rsidRPr="009618D3" w:rsidRDefault="00046AD2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More information about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can be found in the </w:t>
      </w:r>
      <w:hyperlink r:id="rId8" w:history="1">
        <w:r w:rsidRPr="00664762">
          <w:rPr>
            <w:rStyle w:val="Hyperlink"/>
            <w:rFonts w:ascii="Arial" w:hAnsi="Arial" w:cs="Arial"/>
            <w:sz w:val="22"/>
          </w:rPr>
          <w:t>Data Exchange Protocols</w:t>
        </w:r>
      </w:hyperlink>
      <w:r w:rsidR="00664762">
        <w:rPr>
          <w:rFonts w:ascii="Arial" w:hAnsi="Arial" w:cs="Arial"/>
          <w:sz w:val="22"/>
        </w:rPr>
        <w:t xml:space="preserve">. Task cards on how to run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="00664762">
        <w:rPr>
          <w:rFonts w:ascii="Arial" w:hAnsi="Arial" w:cs="Arial"/>
          <w:sz w:val="22"/>
        </w:rPr>
        <w:t xml:space="preserve"> reports can be found on the </w:t>
      </w:r>
      <w:hyperlink r:id="rId9" w:history="1">
        <w:r w:rsidR="00664762" w:rsidRPr="00664762">
          <w:rPr>
            <w:rStyle w:val="Hyperlink"/>
            <w:rFonts w:ascii="Arial" w:hAnsi="Arial" w:cs="Arial"/>
            <w:sz w:val="22"/>
          </w:rPr>
          <w:t>Data Exchange website</w:t>
        </w:r>
      </w:hyperlink>
      <w:r w:rsidR="00317879">
        <w:rPr>
          <w:rStyle w:val="Hyperlink"/>
          <w:rFonts w:ascii="Arial" w:hAnsi="Arial" w:cs="Arial"/>
          <w:sz w:val="22"/>
        </w:rPr>
        <w:t>.</w:t>
      </w:r>
      <w:r w:rsidR="00664762">
        <w:rPr>
          <w:rFonts w:ascii="Arial" w:hAnsi="Arial" w:cs="Arial"/>
          <w:sz w:val="22"/>
        </w:rPr>
        <w:t xml:space="preserve"> </w:t>
      </w:r>
    </w:p>
    <w:p w14:paraId="3865022E" w14:textId="77777777" w:rsidR="00CA73D4" w:rsidRPr="00F17AFF" w:rsidRDefault="00CA73D4" w:rsidP="00046AD2">
      <w:pPr>
        <w:spacing w:after="120" w:line="288" w:lineRule="auto"/>
        <w:rPr>
          <w:rFonts w:ascii="Arial" w:eastAsiaTheme="majorEastAsia" w:hAnsi="Arial" w:cs="Arial"/>
          <w:b/>
          <w:bCs/>
          <w:sz w:val="8"/>
          <w:szCs w:val="24"/>
        </w:rPr>
      </w:pPr>
    </w:p>
    <w:p w14:paraId="318611AA" w14:textId="77777777" w:rsidR="00141857" w:rsidRDefault="00141857" w:rsidP="00481DBA">
      <w:bookmarkStart w:id="4" w:name="_Part_A_-"/>
      <w:bookmarkEnd w:id="4"/>
      <w:r>
        <w:br w:type="page"/>
      </w:r>
    </w:p>
    <w:p w14:paraId="161177E1" w14:textId="08E0C22E" w:rsidR="00046AD2" w:rsidRPr="00481DBA" w:rsidRDefault="000D6966" w:rsidP="00481DBA">
      <w:pPr>
        <w:pStyle w:val="Heading3"/>
        <w:rPr>
          <w:rFonts w:ascii="Arial" w:hAnsi="Arial" w:cs="Arial"/>
          <w:i/>
          <w:sz w:val="24"/>
          <w:szCs w:val="24"/>
        </w:rPr>
      </w:pPr>
      <w:bookmarkStart w:id="5" w:name="_Part_A_-_1"/>
      <w:bookmarkEnd w:id="5"/>
      <w:r w:rsidRPr="00481DBA">
        <w:rPr>
          <w:rFonts w:ascii="Arial" w:hAnsi="Arial" w:cs="Arial"/>
          <w:sz w:val="24"/>
          <w:szCs w:val="24"/>
        </w:rPr>
        <w:lastRenderedPageBreak/>
        <w:t xml:space="preserve">Part A - </w:t>
      </w:r>
      <w:r w:rsidR="00046AD2" w:rsidRPr="00481DBA">
        <w:rPr>
          <w:rFonts w:ascii="Arial" w:hAnsi="Arial" w:cs="Arial"/>
          <w:sz w:val="24"/>
          <w:szCs w:val="24"/>
        </w:rPr>
        <w:t>At the organisation level</w:t>
      </w:r>
    </w:p>
    <w:p w14:paraId="3730AC0F" w14:textId="2963B71F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From the Data Exchange web-based portal home page, select </w:t>
      </w:r>
      <w:r w:rsidRPr="009618D3">
        <w:rPr>
          <w:rFonts w:ascii="Arial" w:hAnsi="Arial" w:cs="Arial"/>
          <w:b/>
          <w:sz w:val="22"/>
        </w:rPr>
        <w:t>&gt; Manage organisation</w:t>
      </w:r>
      <w:r w:rsidRPr="009618D3">
        <w:rPr>
          <w:rFonts w:ascii="Arial" w:hAnsi="Arial" w:cs="Arial"/>
          <w:sz w:val="22"/>
        </w:rPr>
        <w:t xml:space="preserve"> found in the </w:t>
      </w:r>
      <w:r w:rsidR="006545A0">
        <w:rPr>
          <w:rFonts w:ascii="Arial" w:hAnsi="Arial" w:cs="Arial"/>
          <w:sz w:val="22"/>
        </w:rPr>
        <w:br/>
      </w:r>
      <w:r w:rsidRPr="009618D3">
        <w:rPr>
          <w:rFonts w:ascii="Arial" w:hAnsi="Arial" w:cs="Arial"/>
          <w:b/>
          <w:sz w:val="22"/>
        </w:rPr>
        <w:t>My Organisation</w:t>
      </w:r>
      <w:r w:rsidRPr="009618D3">
        <w:rPr>
          <w:rFonts w:ascii="Arial" w:hAnsi="Arial" w:cs="Arial"/>
          <w:sz w:val="22"/>
        </w:rPr>
        <w:t xml:space="preserve"> menu. </w:t>
      </w:r>
      <w:r w:rsidR="009E2439">
        <w:rPr>
          <w:rFonts w:ascii="Arial" w:hAnsi="Arial" w:cs="Arial"/>
          <w:sz w:val="22"/>
        </w:rPr>
        <w:t xml:space="preserve">Refer Figure </w:t>
      </w:r>
      <w:r w:rsidR="00141857">
        <w:rPr>
          <w:rFonts w:ascii="Arial" w:hAnsi="Arial" w:cs="Arial"/>
          <w:sz w:val="22"/>
        </w:rPr>
        <w:t>1</w:t>
      </w:r>
      <w:r w:rsidR="009E2439">
        <w:rPr>
          <w:rFonts w:ascii="Arial" w:hAnsi="Arial" w:cs="Arial"/>
          <w:sz w:val="22"/>
        </w:rPr>
        <w:t>.</w:t>
      </w:r>
    </w:p>
    <w:p w14:paraId="61459390" w14:textId="179F5C0F" w:rsidR="00046AD2" w:rsidRPr="009618D3" w:rsidRDefault="009618D3" w:rsidP="00046AD2">
      <w:pPr>
        <w:pStyle w:val="Caption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>1</w:t>
      </w:r>
      <w:r>
        <w:rPr>
          <w:rFonts w:ascii="Arial" w:hAnsi="Arial" w:cs="Arial"/>
          <w:caps w:val="0"/>
        </w:rPr>
        <w:t xml:space="preserve"> – My Organisation s</w:t>
      </w:r>
      <w:r w:rsidRPr="009618D3">
        <w:rPr>
          <w:rFonts w:ascii="Arial" w:hAnsi="Arial" w:cs="Arial"/>
          <w:caps w:val="0"/>
        </w:rPr>
        <w:t>creen</w:t>
      </w:r>
    </w:p>
    <w:p w14:paraId="453AEC87" w14:textId="77777777" w:rsidR="00046AD2" w:rsidRDefault="00046AD2" w:rsidP="00046AD2">
      <w:pPr>
        <w:spacing w:before="0" w:after="120" w:line="288" w:lineRule="auto"/>
      </w:pPr>
      <w:r>
        <w:rPr>
          <w:noProof/>
          <w:lang w:eastAsia="en-AU"/>
        </w:rPr>
        <w:drawing>
          <wp:inline distT="0" distB="0" distL="0" distR="0" wp14:anchorId="7E5EB997" wp14:editId="1302DF21">
            <wp:extent cx="2228850" cy="1393031"/>
            <wp:effectExtent l="19050" t="19050" r="19050" b="17145"/>
            <wp:docPr id="6" name="Picture 6" descr="This is a screenshot showing the selection of the Manage organisation hyperlink located under the My Organisation heading on hte Data Exchange web-based portal." title="My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30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090E27F" w14:textId="06718B13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The </w:t>
      </w:r>
      <w:r w:rsidRPr="009618D3">
        <w:rPr>
          <w:rFonts w:ascii="Arial" w:hAnsi="Arial" w:cs="Arial"/>
          <w:b/>
          <w:sz w:val="22"/>
        </w:rPr>
        <w:t>Manage organisation</w:t>
      </w:r>
      <w:r w:rsidRPr="009618D3">
        <w:rPr>
          <w:rFonts w:ascii="Arial" w:hAnsi="Arial" w:cs="Arial"/>
          <w:sz w:val="22"/>
        </w:rPr>
        <w:t xml:space="preserve"> screen will display.</w:t>
      </w:r>
      <w:r w:rsidR="009E2439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2</w:t>
      </w:r>
      <w:r w:rsidR="009E2439">
        <w:rPr>
          <w:rFonts w:ascii="Arial" w:hAnsi="Arial" w:cs="Arial"/>
          <w:sz w:val="22"/>
        </w:rPr>
        <w:t>.</w:t>
      </w:r>
    </w:p>
    <w:p w14:paraId="514DC162" w14:textId="77777777" w:rsidR="00046AD2" w:rsidRPr="009E2439" w:rsidRDefault="00046AD2" w:rsidP="00046AD2">
      <w:pPr>
        <w:spacing w:after="120" w:line="288" w:lineRule="auto"/>
        <w:rPr>
          <w:rFonts w:ascii="Arial" w:hAnsi="Arial" w:cs="Arial"/>
          <w:b/>
          <w:sz w:val="22"/>
        </w:rPr>
      </w:pPr>
      <w:r w:rsidRPr="009618D3">
        <w:rPr>
          <w:rFonts w:ascii="Arial" w:hAnsi="Arial" w:cs="Arial"/>
          <w:sz w:val="22"/>
        </w:rPr>
        <w:t xml:space="preserve">Select </w:t>
      </w:r>
      <w:r w:rsidRPr="009E2439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EDIT ORGANISATION DETAILS</w:t>
      </w:r>
      <w:r w:rsidRPr="009E2439">
        <w:rPr>
          <w:rFonts w:ascii="Arial" w:hAnsi="Arial" w:cs="Arial"/>
          <w:b/>
          <w:sz w:val="22"/>
        </w:rPr>
        <w:t>.</w:t>
      </w:r>
    </w:p>
    <w:p w14:paraId="2F009CA1" w14:textId="68FAB0C4" w:rsidR="00046AD2" w:rsidRPr="009618D3" w:rsidRDefault="009618D3" w:rsidP="00046AD2">
      <w:pPr>
        <w:pStyle w:val="Caption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>2</w:t>
      </w:r>
      <w:r>
        <w:rPr>
          <w:rFonts w:ascii="Arial" w:hAnsi="Arial" w:cs="Arial"/>
          <w:caps w:val="0"/>
        </w:rPr>
        <w:t xml:space="preserve"> –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Pr="009618D3">
        <w:rPr>
          <w:rFonts w:ascii="Arial" w:hAnsi="Arial" w:cs="Arial"/>
          <w:caps w:val="0"/>
        </w:rPr>
        <w:t>creen</w:t>
      </w:r>
    </w:p>
    <w:p w14:paraId="45858B21" w14:textId="77777777" w:rsidR="00987059" w:rsidRDefault="00987059" w:rsidP="00046AD2">
      <w:pPr>
        <w:spacing w:before="0" w:after="120" w:line="288" w:lineRule="auto"/>
      </w:pPr>
      <w:r>
        <w:rPr>
          <w:noProof/>
          <w:lang w:eastAsia="en-AU"/>
        </w:rPr>
        <w:drawing>
          <wp:inline distT="0" distB="0" distL="0" distR="0" wp14:anchorId="70369F78" wp14:editId="7A90BE6B">
            <wp:extent cx="5010150" cy="1916490"/>
            <wp:effectExtent l="19050" t="19050" r="19050" b="26670"/>
            <wp:docPr id="37" name="Picture 37" descr="This is a screen shot of the Manage organisation screen highlighting the Edit organisation details button." title="Manage 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16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374522" w14:textId="5CA7A014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The </w:t>
      </w:r>
      <w:r w:rsidRPr="009618D3">
        <w:rPr>
          <w:rFonts w:ascii="Arial" w:hAnsi="Arial" w:cs="Arial"/>
          <w:b/>
          <w:sz w:val="22"/>
        </w:rPr>
        <w:t>Edit organisation</w:t>
      </w:r>
      <w:r w:rsidRPr="009618D3">
        <w:rPr>
          <w:rFonts w:ascii="Arial" w:hAnsi="Arial" w:cs="Arial"/>
          <w:sz w:val="22"/>
        </w:rPr>
        <w:t xml:space="preserve"> </w:t>
      </w:r>
      <w:r w:rsidRPr="009618D3">
        <w:rPr>
          <w:rFonts w:ascii="Arial" w:hAnsi="Arial" w:cs="Arial"/>
          <w:b/>
          <w:sz w:val="22"/>
        </w:rPr>
        <w:t>details</w:t>
      </w:r>
      <w:r w:rsidRPr="009618D3">
        <w:rPr>
          <w:rFonts w:ascii="Arial" w:hAnsi="Arial" w:cs="Arial"/>
          <w:sz w:val="22"/>
        </w:rPr>
        <w:t xml:space="preserve"> screen will display.</w:t>
      </w:r>
      <w:r w:rsidR="009E2439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3</w:t>
      </w:r>
      <w:r w:rsidR="009E2439">
        <w:rPr>
          <w:rFonts w:ascii="Arial" w:hAnsi="Arial" w:cs="Arial"/>
          <w:sz w:val="22"/>
        </w:rPr>
        <w:t>.</w:t>
      </w:r>
    </w:p>
    <w:p w14:paraId="76640283" w14:textId="57C40888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Select </w:t>
      </w:r>
      <w:r w:rsidRPr="009618D3">
        <w:rPr>
          <w:rFonts w:ascii="Arial" w:hAnsi="Arial" w:cs="Arial"/>
          <w:b/>
          <w:sz w:val="22"/>
        </w:rPr>
        <w:t xml:space="preserve">Yes </w:t>
      </w:r>
      <w:r w:rsidRPr="009618D3">
        <w:rPr>
          <w:rFonts w:ascii="Arial" w:hAnsi="Arial" w:cs="Arial"/>
          <w:sz w:val="22"/>
        </w:rPr>
        <w:t>or</w:t>
      </w:r>
      <w:r w:rsidRPr="009618D3">
        <w:rPr>
          <w:rFonts w:ascii="Arial" w:hAnsi="Arial" w:cs="Arial"/>
          <w:b/>
          <w:sz w:val="22"/>
        </w:rPr>
        <w:t xml:space="preserve"> No </w:t>
      </w:r>
      <w:r w:rsidRPr="009618D3">
        <w:rPr>
          <w:rFonts w:ascii="Arial" w:hAnsi="Arial" w:cs="Arial"/>
          <w:sz w:val="22"/>
        </w:rPr>
        <w:t xml:space="preserve">to indicate whether your organisation is or isn’t participating in the </w:t>
      </w:r>
      <w:r w:rsidR="000D1C79">
        <w:rPr>
          <w:rFonts w:ascii="Arial" w:hAnsi="Arial" w:cs="Arial"/>
          <w:sz w:val="22"/>
        </w:rPr>
        <w:t>P</w:t>
      </w:r>
      <w:r w:rsidR="00F17AFF">
        <w:rPr>
          <w:rFonts w:ascii="Arial" w:hAnsi="Arial" w:cs="Arial"/>
          <w:sz w:val="22"/>
        </w:rPr>
        <w:t xml:space="preserve">artnership </w:t>
      </w:r>
      <w:r w:rsidR="000D1C79">
        <w:rPr>
          <w:rFonts w:ascii="Arial" w:hAnsi="Arial" w:cs="Arial"/>
          <w:sz w:val="22"/>
        </w:rPr>
        <w:t>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, then select </w:t>
      </w:r>
      <w:r w:rsidRPr="009618D3">
        <w:rPr>
          <w:rFonts w:ascii="Arial" w:hAnsi="Arial" w:cs="Arial"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9618D3">
        <w:rPr>
          <w:rFonts w:ascii="Arial" w:hAnsi="Arial" w:cs="Arial"/>
          <w:sz w:val="22"/>
        </w:rPr>
        <w:t>.</w:t>
      </w:r>
    </w:p>
    <w:p w14:paraId="75C161A2" w14:textId="3E169A77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This will apply to all program activities your organisation delivers. If you have only elected certain program activities for the </w:t>
      </w:r>
      <w:r w:rsidR="000D1C79">
        <w:rPr>
          <w:rFonts w:ascii="Arial" w:hAnsi="Arial" w:cs="Arial"/>
          <w:sz w:val="22"/>
        </w:rPr>
        <w:t>P</w:t>
      </w:r>
      <w:r w:rsidR="00F17AFF">
        <w:rPr>
          <w:rFonts w:ascii="Arial" w:hAnsi="Arial" w:cs="Arial"/>
          <w:sz w:val="22"/>
        </w:rPr>
        <w:t xml:space="preserve">artnership </w:t>
      </w:r>
      <w:r w:rsidR="000D1C79">
        <w:rPr>
          <w:rFonts w:ascii="Arial" w:hAnsi="Arial" w:cs="Arial"/>
          <w:sz w:val="22"/>
        </w:rPr>
        <w:t>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>, complete the steps outlined in Part B.</w:t>
      </w:r>
    </w:p>
    <w:p w14:paraId="1856A1AE" w14:textId="0D359D2A" w:rsidR="00046AD2" w:rsidRDefault="00CA73D4" w:rsidP="00046AD2">
      <w:pPr>
        <w:pStyle w:val="Caption"/>
        <w:spacing w:after="0" w:line="288" w:lineRule="au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F</w:t>
      </w:r>
      <w:r w:rsidR="009618D3">
        <w:rPr>
          <w:rFonts w:ascii="Arial" w:hAnsi="Arial" w:cs="Arial"/>
          <w:caps w:val="0"/>
        </w:rPr>
        <w:t xml:space="preserve">igure </w:t>
      </w:r>
      <w:r w:rsidR="00141857">
        <w:rPr>
          <w:rFonts w:ascii="Arial" w:hAnsi="Arial" w:cs="Arial"/>
          <w:caps w:val="0"/>
        </w:rPr>
        <w:t>3</w:t>
      </w:r>
      <w:r w:rsidR="009618D3">
        <w:rPr>
          <w:rFonts w:ascii="Arial" w:hAnsi="Arial" w:cs="Arial"/>
          <w:caps w:val="0"/>
        </w:rPr>
        <w:t xml:space="preserve"> – Edit organisation d</w:t>
      </w:r>
      <w:r w:rsidR="009618D3" w:rsidRPr="009618D3">
        <w:rPr>
          <w:rFonts w:ascii="Arial" w:hAnsi="Arial" w:cs="Arial"/>
          <w:caps w:val="0"/>
        </w:rPr>
        <w:t xml:space="preserve">etails </w:t>
      </w:r>
      <w:r w:rsidR="009618D3">
        <w:rPr>
          <w:rFonts w:ascii="Arial" w:hAnsi="Arial" w:cs="Arial"/>
          <w:caps w:val="0"/>
        </w:rPr>
        <w:t>s</w:t>
      </w:r>
      <w:r w:rsidR="009618D3" w:rsidRPr="009618D3">
        <w:rPr>
          <w:rFonts w:ascii="Arial" w:hAnsi="Arial" w:cs="Arial"/>
          <w:caps w:val="0"/>
        </w:rPr>
        <w:t>creen</w:t>
      </w:r>
    </w:p>
    <w:p w14:paraId="4E855824" w14:textId="2B63FF72" w:rsidR="00987059" w:rsidRDefault="00987059" w:rsidP="00F17AFF">
      <w:pPr>
        <w:spacing w:before="0"/>
      </w:pPr>
      <w:bookmarkStart w:id="6" w:name="_GoBack"/>
      <w:r>
        <w:rPr>
          <w:noProof/>
          <w:lang w:eastAsia="en-AU"/>
        </w:rPr>
        <w:drawing>
          <wp:inline distT="0" distB="0" distL="0" distR="0" wp14:anchorId="1DE60A95" wp14:editId="1D30A569">
            <wp:extent cx="4229010" cy="2590800"/>
            <wp:effectExtent l="19050" t="19050" r="19685" b="19050"/>
            <wp:docPr id="38" name="Picture 38" descr="This is a screen shot of the Edit organisation details highlighting the partnership approach selection buttons." title="Edit organisatio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56" cy="2591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6"/>
    </w:p>
    <w:p w14:paraId="364B82AB" w14:textId="77777777" w:rsidR="005A6CA6" w:rsidRPr="00F17AFF" w:rsidRDefault="005A6CA6" w:rsidP="00F17AFF">
      <w:pPr>
        <w:spacing w:before="0"/>
      </w:pPr>
    </w:p>
    <w:p w14:paraId="68D68E36" w14:textId="6582A38E" w:rsidR="00046AD2" w:rsidRPr="005A6CA6" w:rsidRDefault="000D6966" w:rsidP="005A6CA6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7" w:name="_Part_B_-"/>
      <w:bookmarkEnd w:id="7"/>
      <w:r w:rsidRPr="005A6CA6">
        <w:rPr>
          <w:rFonts w:ascii="Arial" w:hAnsi="Arial" w:cs="Arial"/>
          <w:i w:val="0"/>
          <w:sz w:val="24"/>
          <w:szCs w:val="24"/>
        </w:rPr>
        <w:lastRenderedPageBreak/>
        <w:t xml:space="preserve">Part B - </w:t>
      </w:r>
      <w:r w:rsidR="00046AD2" w:rsidRPr="005A6CA6">
        <w:rPr>
          <w:rFonts w:ascii="Arial" w:hAnsi="Arial" w:cs="Arial"/>
          <w:i w:val="0"/>
          <w:sz w:val="24"/>
          <w:szCs w:val="24"/>
        </w:rPr>
        <w:t>At the program activity level</w:t>
      </w:r>
    </w:p>
    <w:p w14:paraId="0A1A958C" w14:textId="2D6496A8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Your organisation can opt out of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for an individual program activity even if they have opted in at an organisation level.</w:t>
      </w:r>
    </w:p>
    <w:p w14:paraId="38E7CCDD" w14:textId="77777777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If your organisation delivers the same program activity at multiple outlets, each of these outlets </w:t>
      </w:r>
      <w:r w:rsidRPr="00F17AFF">
        <w:rPr>
          <w:rFonts w:ascii="Arial" w:hAnsi="Arial" w:cs="Arial"/>
          <w:b/>
          <w:sz w:val="22"/>
        </w:rPr>
        <w:t xml:space="preserve">must </w:t>
      </w:r>
      <w:r w:rsidRPr="009618D3">
        <w:rPr>
          <w:rFonts w:ascii="Arial" w:hAnsi="Arial" w:cs="Arial"/>
          <w:sz w:val="22"/>
        </w:rPr>
        <w:t>all opt-in or out, as participation cannot be assigned at the outlet level.</w:t>
      </w:r>
    </w:p>
    <w:p w14:paraId="2FAB0C2F" w14:textId="1F11C1BC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To opt in or out of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for an individual program activity, go to the </w:t>
      </w:r>
      <w:r w:rsidRPr="009618D3">
        <w:rPr>
          <w:rFonts w:ascii="Arial" w:hAnsi="Arial" w:cs="Arial"/>
          <w:b/>
          <w:sz w:val="22"/>
        </w:rPr>
        <w:t>Manage organisation</w:t>
      </w:r>
      <w:r w:rsidRPr="009618D3">
        <w:rPr>
          <w:rFonts w:ascii="Arial" w:hAnsi="Arial" w:cs="Arial"/>
          <w:sz w:val="22"/>
        </w:rPr>
        <w:t xml:space="preserve"> screen and select the appropriate </w:t>
      </w:r>
      <w:r w:rsidR="006545A0">
        <w:rPr>
          <w:rFonts w:ascii="Arial" w:hAnsi="Arial" w:cs="Arial"/>
          <w:b/>
          <w:sz w:val="22"/>
        </w:rPr>
        <w:t>P</w:t>
      </w:r>
      <w:r w:rsidRPr="009618D3">
        <w:rPr>
          <w:rFonts w:ascii="Arial" w:hAnsi="Arial" w:cs="Arial"/>
          <w:b/>
          <w:sz w:val="22"/>
        </w:rPr>
        <w:t>rogram activity hyperlink</w:t>
      </w:r>
      <w:r w:rsidRPr="009618D3">
        <w:rPr>
          <w:rFonts w:ascii="Arial" w:hAnsi="Arial" w:cs="Arial"/>
          <w:sz w:val="22"/>
        </w:rPr>
        <w:t>.</w:t>
      </w:r>
      <w:r w:rsidR="000437E2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4</w:t>
      </w:r>
      <w:r w:rsidR="000437E2">
        <w:rPr>
          <w:rFonts w:ascii="Arial" w:hAnsi="Arial" w:cs="Arial"/>
          <w:sz w:val="22"/>
        </w:rPr>
        <w:t>.</w:t>
      </w:r>
    </w:p>
    <w:p w14:paraId="4FFF2F01" w14:textId="0479E581" w:rsidR="00046AD2" w:rsidRDefault="009618D3" w:rsidP="00046AD2">
      <w:pPr>
        <w:pStyle w:val="Caption"/>
        <w:spacing w:after="0" w:line="288" w:lineRule="auto"/>
        <w:rPr>
          <w:rFonts w:ascii="Arial" w:hAnsi="Arial" w:cs="Arial"/>
          <w:caps w:val="0"/>
        </w:rPr>
      </w:pPr>
      <w:r w:rsidRPr="009618D3"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>4</w:t>
      </w:r>
      <w:r w:rsidRPr="009618D3">
        <w:rPr>
          <w:rFonts w:ascii="Arial" w:hAnsi="Arial" w:cs="Arial"/>
          <w:caps w:val="0"/>
        </w:rPr>
        <w:t xml:space="preserve"> – Program </w:t>
      </w:r>
      <w:r w:rsidR="002C7D62">
        <w:rPr>
          <w:rFonts w:ascii="Arial" w:hAnsi="Arial" w:cs="Arial"/>
          <w:caps w:val="0"/>
        </w:rPr>
        <w:t>a</w:t>
      </w:r>
      <w:r w:rsidRPr="009618D3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 xml:space="preserve">elected </w:t>
      </w:r>
      <w:r>
        <w:rPr>
          <w:rFonts w:ascii="Arial" w:hAnsi="Arial" w:cs="Arial"/>
          <w:caps w:val="0"/>
        </w:rPr>
        <w:t>a</w:t>
      </w:r>
      <w:r w:rsidRPr="009618D3">
        <w:rPr>
          <w:rFonts w:ascii="Arial" w:hAnsi="Arial" w:cs="Arial"/>
          <w:caps w:val="0"/>
        </w:rPr>
        <w:t>t</w:t>
      </w:r>
      <w:r>
        <w:rPr>
          <w:rFonts w:ascii="Arial" w:hAnsi="Arial" w:cs="Arial"/>
          <w:caps w:val="0"/>
        </w:rPr>
        <w:t xml:space="preserve"> the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Pr="009618D3">
        <w:rPr>
          <w:rFonts w:ascii="Arial" w:hAnsi="Arial" w:cs="Arial"/>
          <w:caps w:val="0"/>
        </w:rPr>
        <w:t xml:space="preserve">creen </w:t>
      </w:r>
    </w:p>
    <w:p w14:paraId="2160760A" w14:textId="33881757" w:rsidR="00155679" w:rsidRPr="00155679" w:rsidRDefault="00155679" w:rsidP="00155679">
      <w:pPr>
        <w:spacing w:before="0"/>
      </w:pPr>
      <w:r>
        <w:rPr>
          <w:noProof/>
          <w:lang w:eastAsia="en-AU"/>
        </w:rPr>
        <w:drawing>
          <wp:inline distT="0" distB="0" distL="0" distR="0" wp14:anchorId="06F421AD" wp14:editId="4561DC54">
            <wp:extent cx="3743325" cy="3545104"/>
            <wp:effectExtent l="19050" t="19050" r="9525" b="17780"/>
            <wp:docPr id="15" name="Picture 15" descr="This is a screen shot of the Manage organisation screen highlighting a program activity hyperlink being selected." title="Manage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0125" cy="3551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023FB3" w14:textId="77777777" w:rsidR="00155679" w:rsidRPr="00155679" w:rsidRDefault="00155679" w:rsidP="00155679"/>
    <w:p w14:paraId="357F6FB6" w14:textId="442E339A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The </w:t>
      </w:r>
      <w:r w:rsidRPr="009618D3">
        <w:rPr>
          <w:rFonts w:ascii="Arial" w:hAnsi="Arial" w:cs="Arial"/>
          <w:b/>
          <w:sz w:val="22"/>
        </w:rPr>
        <w:t>Program activity</w:t>
      </w:r>
      <w:r w:rsidRPr="009618D3">
        <w:rPr>
          <w:rFonts w:ascii="Arial" w:hAnsi="Arial" w:cs="Arial"/>
          <w:sz w:val="22"/>
        </w:rPr>
        <w:t xml:space="preserve"> screen will display.</w:t>
      </w:r>
      <w:r w:rsidR="00141857">
        <w:rPr>
          <w:rFonts w:ascii="Arial" w:hAnsi="Arial" w:cs="Arial"/>
          <w:sz w:val="22"/>
        </w:rPr>
        <w:t xml:space="preserve"> Refer Figure 5</w:t>
      </w:r>
      <w:r w:rsidR="009E2439">
        <w:rPr>
          <w:rFonts w:ascii="Arial" w:hAnsi="Arial" w:cs="Arial"/>
          <w:sz w:val="22"/>
        </w:rPr>
        <w:t>.</w:t>
      </w:r>
    </w:p>
    <w:p w14:paraId="74ED628B" w14:textId="77777777" w:rsidR="00046AD2" w:rsidRPr="009E2439" w:rsidRDefault="00046AD2" w:rsidP="00046AD2">
      <w:pPr>
        <w:spacing w:after="120" w:line="288" w:lineRule="auto"/>
        <w:rPr>
          <w:rFonts w:ascii="Arial" w:hAnsi="Arial" w:cs="Arial"/>
          <w:b/>
          <w:sz w:val="22"/>
        </w:rPr>
      </w:pPr>
      <w:r w:rsidRPr="009618D3">
        <w:rPr>
          <w:rFonts w:ascii="Arial" w:hAnsi="Arial" w:cs="Arial"/>
          <w:sz w:val="22"/>
        </w:rPr>
        <w:t xml:space="preserve">Select </w:t>
      </w:r>
      <w:r w:rsidRPr="009E2439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EDIT PROGRAM ACTIVITY</w:t>
      </w:r>
      <w:r w:rsidRPr="009E2439">
        <w:rPr>
          <w:rFonts w:ascii="Arial" w:hAnsi="Arial" w:cs="Arial"/>
          <w:b/>
          <w:sz w:val="22"/>
        </w:rPr>
        <w:t>.</w:t>
      </w:r>
    </w:p>
    <w:p w14:paraId="51EA6EFF" w14:textId="732FEEEB" w:rsidR="00086340" w:rsidRPr="009618D3" w:rsidRDefault="009618D3" w:rsidP="00086340">
      <w:pPr>
        <w:pStyle w:val="Caption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 xml:space="preserve">5 </w:t>
      </w:r>
      <w:r>
        <w:rPr>
          <w:rFonts w:ascii="Arial" w:hAnsi="Arial" w:cs="Arial"/>
          <w:caps w:val="0"/>
        </w:rPr>
        <w:t>– Program a</w:t>
      </w:r>
      <w:r w:rsidRPr="009618D3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>creen</w:t>
      </w:r>
    </w:p>
    <w:p w14:paraId="29B11A42" w14:textId="77777777" w:rsidR="00F66946" w:rsidRDefault="00F66946" w:rsidP="00086340">
      <w:pPr>
        <w:spacing w:before="0" w:after="120" w:line="288" w:lineRule="auto"/>
        <w:rPr>
          <w:rFonts w:asciiTheme="majorHAnsi" w:eastAsiaTheme="majorEastAsia" w:hAnsiTheme="majorHAnsi" w:cstheme="majorBidi"/>
          <w:bCs/>
          <w:color w:val="04617B" w:themeColor="text2"/>
          <w:sz w:val="32"/>
          <w:szCs w:val="32"/>
        </w:rPr>
      </w:pPr>
      <w:r>
        <w:rPr>
          <w:rFonts w:asciiTheme="majorHAnsi" w:eastAsiaTheme="majorEastAsia" w:hAnsiTheme="majorHAnsi" w:cstheme="majorBidi"/>
          <w:bCs/>
          <w:noProof/>
          <w:color w:val="04617B" w:themeColor="text2"/>
          <w:sz w:val="32"/>
          <w:szCs w:val="32"/>
          <w:lang w:eastAsia="en-AU"/>
        </w:rPr>
        <w:drawing>
          <wp:inline distT="0" distB="0" distL="0" distR="0" wp14:anchorId="42B11859" wp14:editId="0584097D">
            <wp:extent cx="3857625" cy="2961018"/>
            <wp:effectExtent l="19050" t="19050" r="9525" b="10795"/>
            <wp:docPr id="42" name="Picture 42" descr="This is a screen shot of the program activity screen highlighting the Edit program activity button." title="Program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81" cy="2961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4925DB" w14:textId="69C871A3" w:rsidR="00086340" w:rsidRPr="009618D3" w:rsidRDefault="00086340" w:rsidP="00086340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lastRenderedPageBreak/>
        <w:t xml:space="preserve">The </w:t>
      </w:r>
      <w:r w:rsidRPr="009618D3">
        <w:rPr>
          <w:rFonts w:ascii="Arial" w:hAnsi="Arial" w:cs="Arial"/>
          <w:b/>
          <w:sz w:val="22"/>
        </w:rPr>
        <w:t>Edit program activity</w:t>
      </w:r>
      <w:r w:rsidRPr="009618D3">
        <w:rPr>
          <w:rFonts w:ascii="Arial" w:hAnsi="Arial" w:cs="Arial"/>
          <w:sz w:val="22"/>
        </w:rPr>
        <w:t xml:space="preserve"> screen will display.</w:t>
      </w:r>
      <w:r w:rsidR="009E2439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6</w:t>
      </w:r>
      <w:r w:rsidR="009E2439">
        <w:rPr>
          <w:rFonts w:ascii="Arial" w:hAnsi="Arial" w:cs="Arial"/>
          <w:sz w:val="22"/>
        </w:rPr>
        <w:t>.</w:t>
      </w:r>
    </w:p>
    <w:p w14:paraId="333DE7CD" w14:textId="77777777" w:rsidR="00086340" w:rsidRDefault="00086340" w:rsidP="00086340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Change the </w:t>
      </w:r>
      <w:r w:rsidR="00F17AFF" w:rsidRPr="00F17AFF">
        <w:rPr>
          <w:rFonts w:ascii="Arial" w:hAnsi="Arial" w:cs="Arial"/>
          <w:b/>
          <w:sz w:val="22"/>
        </w:rPr>
        <w:t>Partnership approach</w:t>
      </w:r>
      <w:r w:rsidRPr="00F17AFF">
        <w:rPr>
          <w:rFonts w:ascii="Arial" w:hAnsi="Arial" w:cs="Arial"/>
          <w:b/>
          <w:sz w:val="22"/>
        </w:rPr>
        <w:t xml:space="preserve"> agreement</w:t>
      </w:r>
      <w:r w:rsidRPr="009618D3">
        <w:rPr>
          <w:rFonts w:ascii="Arial" w:hAnsi="Arial" w:cs="Arial"/>
          <w:sz w:val="22"/>
        </w:rPr>
        <w:t xml:space="preserve"> radio button as required, then select </w:t>
      </w:r>
      <w:r w:rsidRPr="009E2439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9E2439">
        <w:rPr>
          <w:rFonts w:ascii="Arial" w:hAnsi="Arial" w:cs="Arial"/>
          <w:b/>
          <w:sz w:val="22"/>
        </w:rPr>
        <w:t>.</w:t>
      </w:r>
    </w:p>
    <w:p w14:paraId="68F26183" w14:textId="4B1582DD" w:rsidR="00086340" w:rsidRPr="00D149B0" w:rsidRDefault="009618D3" w:rsidP="00F17AFF">
      <w:pPr>
        <w:suppressAutoHyphens w:val="0"/>
        <w:spacing w:before="0" w:after="0" w:line="276" w:lineRule="auto"/>
        <w:rPr>
          <w:rFonts w:ascii="Arial" w:hAnsi="Arial" w:cs="Arial"/>
          <w:szCs w:val="16"/>
        </w:rPr>
      </w:pPr>
      <w:r w:rsidRPr="00F17AFF">
        <w:rPr>
          <w:rFonts w:ascii="Arial" w:hAnsi="Arial" w:cs="Arial"/>
          <w:b/>
          <w:sz w:val="16"/>
          <w:szCs w:val="16"/>
        </w:rPr>
        <w:t xml:space="preserve">Figure </w:t>
      </w:r>
      <w:r w:rsidR="00141857">
        <w:rPr>
          <w:rFonts w:ascii="Arial" w:hAnsi="Arial" w:cs="Arial"/>
          <w:b/>
          <w:sz w:val="16"/>
          <w:szCs w:val="16"/>
        </w:rPr>
        <w:t>6</w:t>
      </w:r>
      <w:r w:rsidRPr="00F17AFF">
        <w:rPr>
          <w:rFonts w:ascii="Arial" w:hAnsi="Arial" w:cs="Arial"/>
          <w:b/>
          <w:sz w:val="16"/>
          <w:szCs w:val="16"/>
        </w:rPr>
        <w:t xml:space="preserve"> – Edit program activity screen</w:t>
      </w:r>
    </w:p>
    <w:p w14:paraId="3593C7B7" w14:textId="77777777" w:rsidR="00086340" w:rsidRPr="008F39C2" w:rsidRDefault="00F66946" w:rsidP="009618D3">
      <w:pPr>
        <w:spacing w:before="0" w:line="276" w:lineRule="auto"/>
        <w:rPr>
          <w:rFonts w:asciiTheme="majorHAnsi" w:eastAsiaTheme="majorEastAsia" w:hAnsiTheme="majorHAnsi" w:cstheme="majorBidi"/>
          <w:bCs/>
          <w:color w:val="04617B" w:themeColor="text2"/>
          <w:sz w:val="32"/>
          <w:szCs w:val="32"/>
        </w:rPr>
      </w:pPr>
      <w:r>
        <w:rPr>
          <w:rFonts w:asciiTheme="majorHAnsi" w:eastAsiaTheme="majorEastAsia" w:hAnsiTheme="majorHAnsi" w:cstheme="majorBidi"/>
          <w:bCs/>
          <w:noProof/>
          <w:color w:val="04617B" w:themeColor="text2"/>
          <w:sz w:val="32"/>
          <w:szCs w:val="32"/>
          <w:lang w:eastAsia="en-AU"/>
        </w:rPr>
        <w:drawing>
          <wp:inline distT="0" distB="0" distL="0" distR="0" wp14:anchorId="5A3894A1" wp14:editId="47AACFEF">
            <wp:extent cx="4904238" cy="2181225"/>
            <wp:effectExtent l="19050" t="19050" r="10795" b="9525"/>
            <wp:docPr id="43" name="Picture 43" descr="This is a screen shot of the Edit program activity highlighting the partnership approach selection buttons." title="Edit program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38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18B41" w14:textId="77777777" w:rsidR="00A92FE9" w:rsidRPr="00F17AFF" w:rsidRDefault="00A92FE9" w:rsidP="001F5649">
      <w:pPr>
        <w:pStyle w:val="NormalIndented"/>
      </w:pPr>
    </w:p>
    <w:p w14:paraId="16EC0400" w14:textId="77777777" w:rsidR="00F17AFF" w:rsidRPr="00F17AFF" w:rsidRDefault="00F17AFF" w:rsidP="00F17AFF">
      <w:pPr>
        <w:shd w:val="clear" w:color="auto" w:fill="B8DDE1"/>
        <w:spacing w:after="120" w:line="240" w:lineRule="auto"/>
        <w:jc w:val="center"/>
        <w:rPr>
          <w:rFonts w:ascii="Arial" w:hAnsi="Arial" w:cs="Arial"/>
          <w:sz w:val="10"/>
        </w:rPr>
      </w:pPr>
      <w:bookmarkStart w:id="8" w:name="_How_to_manually"/>
      <w:bookmarkEnd w:id="8"/>
    </w:p>
    <w:p w14:paraId="6F8C6738" w14:textId="74A70CE5" w:rsidR="00317879" w:rsidRDefault="00317879" w:rsidP="00317879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Go to the</w:t>
      </w:r>
      <w:r w:rsidRPr="00D87703">
        <w:rPr>
          <w:rFonts w:ascii="Arial" w:hAnsi="Arial" w:cs="Arial"/>
          <w:sz w:val="22"/>
        </w:rPr>
        <w:t xml:space="preserve"> </w:t>
      </w:r>
      <w:hyperlink r:id="rId16" w:history="1">
        <w:r w:rsidRPr="009A44D1">
          <w:rPr>
            <w:rStyle w:val="Hyperlink"/>
            <w:rFonts w:ascii="Arial" w:hAnsi="Arial" w:cs="Arial"/>
            <w:color w:val="04617B" w:themeColor="accent5"/>
            <w:sz w:val="22"/>
          </w:rPr>
          <w:t>Data Exchange Protocols</w:t>
        </w:r>
      </w:hyperlink>
      <w:r>
        <w:rPr>
          <w:rStyle w:val="Hyperlink"/>
          <w:rFonts w:ascii="Arial" w:hAnsi="Arial" w:cs="Arial"/>
          <w:color w:val="04617B" w:themeColor="accent5"/>
          <w:sz w:val="22"/>
        </w:rPr>
        <w:t xml:space="preserve"> </w:t>
      </w:r>
      <w:r w:rsidRPr="00D87703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 xml:space="preserve">the </w:t>
      </w:r>
      <w:hyperlink r:id="rId17" w:history="1">
        <w:r w:rsidRPr="00F25548">
          <w:rPr>
            <w:rStyle w:val="Hyperlink"/>
            <w:rFonts w:ascii="Arial" w:hAnsi="Arial" w:cs="Arial"/>
            <w:sz w:val="22"/>
          </w:rPr>
          <w:t>Training</w:t>
        </w:r>
      </w:hyperlink>
      <w:r w:rsidRPr="009A44D1">
        <w:rPr>
          <w:rStyle w:val="Hyperlink"/>
          <w:rFonts w:ascii="Arial" w:hAnsi="Arial" w:cs="Arial"/>
          <w:color w:val="04617B" w:themeColor="accent5"/>
          <w:sz w:val="22"/>
        </w:rPr>
        <w:t xml:space="preserve"> </w:t>
      </w:r>
      <w:r>
        <w:rPr>
          <w:rStyle w:val="Hyperlink"/>
          <w:rFonts w:ascii="Arial" w:hAnsi="Arial" w:cs="Arial"/>
          <w:color w:val="auto"/>
          <w:sz w:val="22"/>
          <w:u w:val="none"/>
        </w:rPr>
        <w:t xml:space="preserve">page on the Data Exchange website for more </w:t>
      </w:r>
      <w:r w:rsidRPr="00D87703">
        <w:rPr>
          <w:rFonts w:ascii="Arial" w:hAnsi="Arial" w:cs="Arial"/>
          <w:sz w:val="22"/>
        </w:rPr>
        <w:t xml:space="preserve">information on </w:t>
      </w:r>
      <w:r>
        <w:rPr>
          <w:rFonts w:ascii="Arial" w:hAnsi="Arial" w:cs="Arial"/>
          <w:sz w:val="22"/>
        </w:rPr>
        <w:t xml:space="preserve">outlets, clients, cases and </w:t>
      </w:r>
      <w:r w:rsidRPr="00D87703">
        <w:rPr>
          <w:rFonts w:ascii="Arial" w:hAnsi="Arial" w:cs="Arial"/>
          <w:sz w:val="22"/>
        </w:rPr>
        <w:t>sessions</w:t>
      </w:r>
      <w:r w:rsidRPr="00E1509E">
        <w:rPr>
          <w:rStyle w:val="Hyperlink"/>
          <w:rFonts w:ascii="Arial" w:hAnsi="Arial" w:cs="Arial"/>
          <w:color w:val="auto"/>
          <w:sz w:val="22"/>
          <w:u w:val="none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860C727" w14:textId="77777777" w:rsidR="00317879" w:rsidRDefault="00317879" w:rsidP="00317879">
      <w:pPr>
        <w:shd w:val="clear" w:color="auto" w:fill="B8DDE1"/>
        <w:spacing w:after="120" w:line="288" w:lineRule="auto"/>
        <w:jc w:val="center"/>
        <w:rPr>
          <w:rStyle w:val="Emphasis"/>
          <w:rFonts w:ascii="Arial" w:hAnsi="Arial" w:cs="Arial"/>
          <w:b w:val="0"/>
          <w:bCs w:val="0"/>
          <w:i w:val="0"/>
          <w:iCs w:val="0"/>
          <w:spacing w:val="0"/>
          <w:sz w:val="22"/>
          <w:lang w:val="en"/>
        </w:rPr>
      </w:pPr>
      <w:r w:rsidRPr="00481EA0">
        <w:rPr>
          <w:rFonts w:ascii="Arial" w:hAnsi="Arial" w:cs="Arial"/>
          <w:sz w:val="22"/>
        </w:rPr>
        <w:t xml:space="preserve">For technical support; contact the Data Exchange Helpdesk by email </w:t>
      </w:r>
      <w:hyperlink r:id="rId18" w:history="1">
        <w:r w:rsidRPr="00716E8C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>
        <w:rPr>
          <w:rFonts w:ascii="Arial" w:hAnsi="Arial" w:cs="Arial"/>
          <w:sz w:val="22"/>
        </w:rPr>
        <w:t xml:space="preserve"> or on 1800 020 283 </w:t>
      </w:r>
      <w:r w:rsidRPr="00481EA0">
        <w:rPr>
          <w:rFonts w:ascii="Arial" w:hAnsi="Arial" w:cs="Arial"/>
          <w:sz w:val="22"/>
          <w:lang w:val="en"/>
        </w:rPr>
        <w:t xml:space="preserve">between 08.30am </w:t>
      </w:r>
      <w:r>
        <w:rPr>
          <w:rFonts w:ascii="Arial" w:hAnsi="Arial" w:cs="Arial"/>
          <w:caps/>
          <w:szCs w:val="16"/>
        </w:rPr>
        <w:t>–</w:t>
      </w:r>
      <w:r w:rsidRPr="00481EA0">
        <w:rPr>
          <w:rFonts w:ascii="Arial" w:hAnsi="Arial" w:cs="Arial"/>
          <w:sz w:val="22"/>
          <w:lang w:val="en"/>
        </w:rPr>
        <w:t xml:space="preserve"> 5.30pm (AEST/AEDT) Monday to Friday.</w:t>
      </w:r>
    </w:p>
    <w:p w14:paraId="143D6012" w14:textId="77777777" w:rsidR="00F17AFF" w:rsidRPr="00F17AFF" w:rsidRDefault="00F17AFF" w:rsidP="00F17AFF">
      <w:pPr>
        <w:shd w:val="clear" w:color="auto" w:fill="B8DDE1"/>
        <w:jc w:val="center"/>
        <w:rPr>
          <w:rFonts w:ascii="Arial" w:hAnsi="Arial" w:cs="Arial"/>
          <w:sz w:val="12"/>
        </w:rPr>
      </w:pPr>
    </w:p>
    <w:p w14:paraId="119B4040" w14:textId="77777777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</w:p>
    <w:sectPr w:rsidR="00086340" w:rsidRPr="00784852" w:rsidSect="00F17AFF"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304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98D4" w14:textId="77777777" w:rsidR="004658A9" w:rsidRDefault="004658A9" w:rsidP="00C46F4D">
      <w:pPr>
        <w:spacing w:after="0" w:line="240" w:lineRule="auto"/>
      </w:pPr>
      <w:r>
        <w:separator/>
      </w:r>
    </w:p>
  </w:endnote>
  <w:endnote w:type="continuationSeparator" w:id="0">
    <w:p w14:paraId="7074B978" w14:textId="77777777" w:rsidR="004658A9" w:rsidRDefault="004658A9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C46F4D" w:rsidRPr="002A15E1" w14:paraId="2D22B741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DFA7617" w14:textId="3233CEA4" w:rsidR="00C46F4D" w:rsidRPr="002A15E1" w:rsidRDefault="00046AD2" w:rsidP="00141857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</w:t>
          </w:r>
          <w:r w:rsidR="00141857">
            <w:rPr>
              <w:rFonts w:ascii="Arial" w:hAnsi="Arial" w:cs="Arial"/>
              <w:sz w:val="18"/>
              <w:szCs w:val="18"/>
            </w:rPr>
            <w:t>Update participation in the Partnership Approach</w:t>
          </w:r>
          <w:r w:rsidR="00397EC9">
            <w:rPr>
              <w:rFonts w:ascii="Arial" w:hAnsi="Arial" w:cs="Arial"/>
              <w:sz w:val="18"/>
              <w:szCs w:val="18"/>
            </w:rPr>
            <w:t xml:space="preserve">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3C914C23" w14:textId="439B1B81" w:rsidR="00C46F4D" w:rsidRPr="00F17AFF" w:rsidRDefault="00C46F4D" w:rsidP="00F17AFF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397EC9" w:rsidRPr="00397EC9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3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27DCF89B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56B5204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7FACD1A" w14:textId="2ABABCA3" w:rsidR="002A15E1" w:rsidRPr="002A15E1" w:rsidRDefault="00046AD2" w:rsidP="00141857">
          <w:pPr>
            <w:pStyle w:val="Footer"/>
            <w:tabs>
              <w:tab w:val="clear" w:pos="4513"/>
              <w:tab w:val="clear" w:pos="9026"/>
              <w:tab w:val="left" w:pos="355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</w:t>
          </w:r>
          <w:r w:rsidR="00141857">
            <w:rPr>
              <w:rFonts w:ascii="Arial" w:hAnsi="Arial" w:cs="Arial"/>
              <w:sz w:val="18"/>
              <w:szCs w:val="18"/>
            </w:rPr>
            <w:t>Update participation in the Partnership Approach</w:t>
          </w:r>
          <w:r w:rsidR="00397EC9">
            <w:rPr>
              <w:rFonts w:ascii="Arial" w:hAnsi="Arial" w:cs="Arial"/>
              <w:sz w:val="18"/>
              <w:szCs w:val="18"/>
            </w:rPr>
            <w:t xml:space="preserve">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0B9B0FAD" w14:textId="362FC10C" w:rsidR="002A15E1" w:rsidRPr="00F17AFF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397EC9" w:rsidRPr="00397EC9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7DA47273" w14:textId="77777777"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52FF" w14:textId="77777777" w:rsidR="004658A9" w:rsidRDefault="004658A9" w:rsidP="00C46F4D">
      <w:pPr>
        <w:spacing w:after="0" w:line="240" w:lineRule="auto"/>
      </w:pPr>
      <w:r>
        <w:separator/>
      </w:r>
    </w:p>
  </w:footnote>
  <w:footnote w:type="continuationSeparator" w:id="0">
    <w:p w14:paraId="42D46F2B" w14:textId="77777777" w:rsidR="004658A9" w:rsidRDefault="004658A9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F9AC" w14:textId="77777777" w:rsidR="008D3EE6" w:rsidRDefault="002349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B86C50A" wp14:editId="29184C34">
          <wp:simplePos x="0" y="0"/>
          <wp:positionH relativeFrom="page">
            <wp:align>left</wp:align>
          </wp:positionH>
          <wp:positionV relativeFrom="paragraph">
            <wp:posOffset>-751840</wp:posOffset>
          </wp:positionV>
          <wp:extent cx="7614285" cy="920750"/>
          <wp:effectExtent l="0" t="0" r="5715" b="0"/>
          <wp:wrapSquare wrapText="bothSides"/>
          <wp:docPr id="33" name="Picture 33" descr="This is a screen shot of the Data Exchange header image." title="Data Exchange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8A"/>
    <w:multiLevelType w:val="hybridMultilevel"/>
    <w:tmpl w:val="9F2A7976"/>
    <w:lvl w:ilvl="0" w:tplc="2F82D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97635"/>
    <w:multiLevelType w:val="hybridMultilevel"/>
    <w:tmpl w:val="2D6043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54B60"/>
    <w:multiLevelType w:val="hybridMultilevel"/>
    <w:tmpl w:val="B95ED4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64A61"/>
    <w:multiLevelType w:val="hybridMultilevel"/>
    <w:tmpl w:val="987A2802"/>
    <w:lvl w:ilvl="0" w:tplc="557A80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6C16DE9"/>
    <w:multiLevelType w:val="hybridMultilevel"/>
    <w:tmpl w:val="65283BBC"/>
    <w:lvl w:ilvl="0" w:tplc="E6EED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17A1D"/>
    <w:multiLevelType w:val="hybridMultilevel"/>
    <w:tmpl w:val="E7CC2E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6E35"/>
    <w:rsid w:val="000354D0"/>
    <w:rsid w:val="000437E2"/>
    <w:rsid w:val="00046AD2"/>
    <w:rsid w:val="0005428C"/>
    <w:rsid w:val="000550DD"/>
    <w:rsid w:val="00074A16"/>
    <w:rsid w:val="00086340"/>
    <w:rsid w:val="00093136"/>
    <w:rsid w:val="000C232A"/>
    <w:rsid w:val="000D1C79"/>
    <w:rsid w:val="000D6966"/>
    <w:rsid w:val="000F44B5"/>
    <w:rsid w:val="00117CAA"/>
    <w:rsid w:val="00136B1A"/>
    <w:rsid w:val="0013709C"/>
    <w:rsid w:val="00141857"/>
    <w:rsid w:val="00143241"/>
    <w:rsid w:val="0014454D"/>
    <w:rsid w:val="00155539"/>
    <w:rsid w:val="00155679"/>
    <w:rsid w:val="001938F4"/>
    <w:rsid w:val="00197D3E"/>
    <w:rsid w:val="001A09FC"/>
    <w:rsid w:val="001A44DF"/>
    <w:rsid w:val="001B0F7D"/>
    <w:rsid w:val="001B6C35"/>
    <w:rsid w:val="001C107F"/>
    <w:rsid w:val="001D4D62"/>
    <w:rsid w:val="001D53E9"/>
    <w:rsid w:val="001E298A"/>
    <w:rsid w:val="001E630D"/>
    <w:rsid w:val="001F5649"/>
    <w:rsid w:val="00211A2E"/>
    <w:rsid w:val="002137A9"/>
    <w:rsid w:val="002349FC"/>
    <w:rsid w:val="00241073"/>
    <w:rsid w:val="0026232A"/>
    <w:rsid w:val="0027573E"/>
    <w:rsid w:val="002819DE"/>
    <w:rsid w:val="002A0160"/>
    <w:rsid w:val="002A15E1"/>
    <w:rsid w:val="002C57E9"/>
    <w:rsid w:val="002C7D62"/>
    <w:rsid w:val="002D09DF"/>
    <w:rsid w:val="002D4158"/>
    <w:rsid w:val="002E166E"/>
    <w:rsid w:val="00304DFA"/>
    <w:rsid w:val="00317879"/>
    <w:rsid w:val="00332B47"/>
    <w:rsid w:val="00374DB4"/>
    <w:rsid w:val="00375845"/>
    <w:rsid w:val="00377997"/>
    <w:rsid w:val="003822E3"/>
    <w:rsid w:val="0039303E"/>
    <w:rsid w:val="00397B48"/>
    <w:rsid w:val="00397EC9"/>
    <w:rsid w:val="003A11FA"/>
    <w:rsid w:val="003B2BB8"/>
    <w:rsid w:val="003C02BE"/>
    <w:rsid w:val="003D22C9"/>
    <w:rsid w:val="003D2F47"/>
    <w:rsid w:val="003D311E"/>
    <w:rsid w:val="003D34FF"/>
    <w:rsid w:val="003D6860"/>
    <w:rsid w:val="003E286B"/>
    <w:rsid w:val="003F12CD"/>
    <w:rsid w:val="003F2770"/>
    <w:rsid w:val="00433AFE"/>
    <w:rsid w:val="00436CE8"/>
    <w:rsid w:val="00456644"/>
    <w:rsid w:val="004641D6"/>
    <w:rsid w:val="00464B10"/>
    <w:rsid w:val="004658A9"/>
    <w:rsid w:val="00475466"/>
    <w:rsid w:val="00481DBA"/>
    <w:rsid w:val="00485CEB"/>
    <w:rsid w:val="004873E0"/>
    <w:rsid w:val="00487837"/>
    <w:rsid w:val="00490930"/>
    <w:rsid w:val="004B54CA"/>
    <w:rsid w:val="004C6CEB"/>
    <w:rsid w:val="004D06CD"/>
    <w:rsid w:val="004D5A2E"/>
    <w:rsid w:val="004E07CF"/>
    <w:rsid w:val="004E5CBF"/>
    <w:rsid w:val="004F3EAE"/>
    <w:rsid w:val="004F7808"/>
    <w:rsid w:val="00513840"/>
    <w:rsid w:val="0051499D"/>
    <w:rsid w:val="00520521"/>
    <w:rsid w:val="00527C2E"/>
    <w:rsid w:val="00541C7B"/>
    <w:rsid w:val="00583890"/>
    <w:rsid w:val="00587FB2"/>
    <w:rsid w:val="00593A98"/>
    <w:rsid w:val="005A101F"/>
    <w:rsid w:val="005A6756"/>
    <w:rsid w:val="005A6CA6"/>
    <w:rsid w:val="005C3AA9"/>
    <w:rsid w:val="005D732C"/>
    <w:rsid w:val="005E50EA"/>
    <w:rsid w:val="005F5A5C"/>
    <w:rsid w:val="00605724"/>
    <w:rsid w:val="00615824"/>
    <w:rsid w:val="0061698D"/>
    <w:rsid w:val="00621E16"/>
    <w:rsid w:val="00622FF5"/>
    <w:rsid w:val="0063030F"/>
    <w:rsid w:val="00633593"/>
    <w:rsid w:val="006545A0"/>
    <w:rsid w:val="00664762"/>
    <w:rsid w:val="0067558F"/>
    <w:rsid w:val="00677C11"/>
    <w:rsid w:val="00685186"/>
    <w:rsid w:val="006A4CE7"/>
    <w:rsid w:val="006B6F31"/>
    <w:rsid w:val="006C5954"/>
    <w:rsid w:val="006D0B3F"/>
    <w:rsid w:val="006D79F4"/>
    <w:rsid w:val="006D7A60"/>
    <w:rsid w:val="006E0B3E"/>
    <w:rsid w:val="006E6D04"/>
    <w:rsid w:val="00702CE9"/>
    <w:rsid w:val="00717DB4"/>
    <w:rsid w:val="00732062"/>
    <w:rsid w:val="00746001"/>
    <w:rsid w:val="0075259D"/>
    <w:rsid w:val="00754998"/>
    <w:rsid w:val="00767BC1"/>
    <w:rsid w:val="00772492"/>
    <w:rsid w:val="00776A1B"/>
    <w:rsid w:val="00784343"/>
    <w:rsid w:val="00784852"/>
    <w:rsid w:val="00784EA9"/>
    <w:rsid w:val="00785261"/>
    <w:rsid w:val="0079207E"/>
    <w:rsid w:val="00797075"/>
    <w:rsid w:val="0079722D"/>
    <w:rsid w:val="007A7B81"/>
    <w:rsid w:val="007B0256"/>
    <w:rsid w:val="007B1C7C"/>
    <w:rsid w:val="007C16B0"/>
    <w:rsid w:val="007D43A0"/>
    <w:rsid w:val="007D47A0"/>
    <w:rsid w:val="007E322C"/>
    <w:rsid w:val="007E3D73"/>
    <w:rsid w:val="007E55C4"/>
    <w:rsid w:val="008008DC"/>
    <w:rsid w:val="00802B20"/>
    <w:rsid w:val="0080716C"/>
    <w:rsid w:val="008460F7"/>
    <w:rsid w:val="00862594"/>
    <w:rsid w:val="00865F6F"/>
    <w:rsid w:val="00871FD3"/>
    <w:rsid w:val="00877DDB"/>
    <w:rsid w:val="0088578A"/>
    <w:rsid w:val="008867DC"/>
    <w:rsid w:val="008901D4"/>
    <w:rsid w:val="00896CAC"/>
    <w:rsid w:val="008B68CD"/>
    <w:rsid w:val="008C16E1"/>
    <w:rsid w:val="008D2F18"/>
    <w:rsid w:val="008D3EE6"/>
    <w:rsid w:val="008D4E2D"/>
    <w:rsid w:val="008E00E7"/>
    <w:rsid w:val="008E3AB4"/>
    <w:rsid w:val="008F7BD2"/>
    <w:rsid w:val="00910508"/>
    <w:rsid w:val="009225F0"/>
    <w:rsid w:val="00936D2B"/>
    <w:rsid w:val="009405D2"/>
    <w:rsid w:val="009429A1"/>
    <w:rsid w:val="00956DD2"/>
    <w:rsid w:val="009618D3"/>
    <w:rsid w:val="00972394"/>
    <w:rsid w:val="009739DC"/>
    <w:rsid w:val="00987059"/>
    <w:rsid w:val="009919E7"/>
    <w:rsid w:val="009A0139"/>
    <w:rsid w:val="009A44D1"/>
    <w:rsid w:val="009A6CF5"/>
    <w:rsid w:val="009B5017"/>
    <w:rsid w:val="009B6E87"/>
    <w:rsid w:val="009D5388"/>
    <w:rsid w:val="009E2439"/>
    <w:rsid w:val="009E37CA"/>
    <w:rsid w:val="00A00456"/>
    <w:rsid w:val="00A1184E"/>
    <w:rsid w:val="00A53400"/>
    <w:rsid w:val="00A62FAE"/>
    <w:rsid w:val="00A67ED1"/>
    <w:rsid w:val="00A80785"/>
    <w:rsid w:val="00A92FE9"/>
    <w:rsid w:val="00A960AE"/>
    <w:rsid w:val="00AB2248"/>
    <w:rsid w:val="00AB7486"/>
    <w:rsid w:val="00AC2C26"/>
    <w:rsid w:val="00AC680D"/>
    <w:rsid w:val="00AD2855"/>
    <w:rsid w:val="00AE03DC"/>
    <w:rsid w:val="00B065FD"/>
    <w:rsid w:val="00B06AF3"/>
    <w:rsid w:val="00B10994"/>
    <w:rsid w:val="00B14564"/>
    <w:rsid w:val="00B26ECC"/>
    <w:rsid w:val="00B3128F"/>
    <w:rsid w:val="00B317F6"/>
    <w:rsid w:val="00B4281E"/>
    <w:rsid w:val="00B53C9E"/>
    <w:rsid w:val="00B60E0D"/>
    <w:rsid w:val="00B673ED"/>
    <w:rsid w:val="00B70F9D"/>
    <w:rsid w:val="00B73262"/>
    <w:rsid w:val="00B85ECA"/>
    <w:rsid w:val="00BA2DB9"/>
    <w:rsid w:val="00BB23E8"/>
    <w:rsid w:val="00BB3E20"/>
    <w:rsid w:val="00BB6809"/>
    <w:rsid w:val="00BC2BFA"/>
    <w:rsid w:val="00BC2F0D"/>
    <w:rsid w:val="00BD7A38"/>
    <w:rsid w:val="00BE7148"/>
    <w:rsid w:val="00BE7613"/>
    <w:rsid w:val="00C14021"/>
    <w:rsid w:val="00C17772"/>
    <w:rsid w:val="00C40046"/>
    <w:rsid w:val="00C46F4D"/>
    <w:rsid w:val="00C55A16"/>
    <w:rsid w:val="00C60D6E"/>
    <w:rsid w:val="00C6501C"/>
    <w:rsid w:val="00C72382"/>
    <w:rsid w:val="00C7319E"/>
    <w:rsid w:val="00CA1644"/>
    <w:rsid w:val="00CA4F9B"/>
    <w:rsid w:val="00CA73D4"/>
    <w:rsid w:val="00CC7E10"/>
    <w:rsid w:val="00CD49E3"/>
    <w:rsid w:val="00CD738E"/>
    <w:rsid w:val="00CE03DA"/>
    <w:rsid w:val="00CE388F"/>
    <w:rsid w:val="00CE447E"/>
    <w:rsid w:val="00CE64FF"/>
    <w:rsid w:val="00CF7CCC"/>
    <w:rsid w:val="00D07082"/>
    <w:rsid w:val="00D149B0"/>
    <w:rsid w:val="00D775FC"/>
    <w:rsid w:val="00D87703"/>
    <w:rsid w:val="00DA68E9"/>
    <w:rsid w:val="00DA7038"/>
    <w:rsid w:val="00DB2DCA"/>
    <w:rsid w:val="00DB7113"/>
    <w:rsid w:val="00DB7BE4"/>
    <w:rsid w:val="00DD7ECD"/>
    <w:rsid w:val="00DE243B"/>
    <w:rsid w:val="00DE27DE"/>
    <w:rsid w:val="00DE7772"/>
    <w:rsid w:val="00DF1347"/>
    <w:rsid w:val="00E03A9D"/>
    <w:rsid w:val="00E10961"/>
    <w:rsid w:val="00E222C4"/>
    <w:rsid w:val="00E4086E"/>
    <w:rsid w:val="00E478EC"/>
    <w:rsid w:val="00E546D2"/>
    <w:rsid w:val="00E67669"/>
    <w:rsid w:val="00E71328"/>
    <w:rsid w:val="00E750D2"/>
    <w:rsid w:val="00E77EEC"/>
    <w:rsid w:val="00E84447"/>
    <w:rsid w:val="00E9254E"/>
    <w:rsid w:val="00E97954"/>
    <w:rsid w:val="00EC3295"/>
    <w:rsid w:val="00EC7BC0"/>
    <w:rsid w:val="00ED17CB"/>
    <w:rsid w:val="00EE12BC"/>
    <w:rsid w:val="00EE7D00"/>
    <w:rsid w:val="00EE7E41"/>
    <w:rsid w:val="00EF01E1"/>
    <w:rsid w:val="00F06604"/>
    <w:rsid w:val="00F17AFF"/>
    <w:rsid w:val="00F44A39"/>
    <w:rsid w:val="00F44DBF"/>
    <w:rsid w:val="00F457FA"/>
    <w:rsid w:val="00F46278"/>
    <w:rsid w:val="00F66946"/>
    <w:rsid w:val="00F86367"/>
    <w:rsid w:val="00F87D76"/>
    <w:rsid w:val="00F93A15"/>
    <w:rsid w:val="00F97887"/>
    <w:rsid w:val="00FC2A84"/>
    <w:rsid w:val="00FE6235"/>
    <w:rsid w:val="00FF3891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AEAA7"/>
  <w15:docId w15:val="{ACAEBBC4-70B9-4723-80F8-4BAB2D2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E8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AU"/>
    </w:rPr>
  </w:style>
  <w:style w:type="paragraph" w:customStyle="1" w:styleId="NormalIndented">
    <w:name w:val="Normal Indented"/>
    <w:basedOn w:val="Normal"/>
    <w:qFormat/>
    <w:rsid w:val="00046AD2"/>
    <w:pPr>
      <w:ind w:left="284"/>
    </w:pPr>
  </w:style>
  <w:style w:type="paragraph" w:customStyle="1" w:styleId="Bullet1">
    <w:name w:val="Bullet 1"/>
    <w:basedOn w:val="Normal"/>
    <w:qFormat/>
    <w:rsid w:val="00046AD2"/>
    <w:pPr>
      <w:numPr>
        <w:numId w:val="2"/>
      </w:numPr>
      <w:spacing w:before="0"/>
    </w:pPr>
  </w:style>
  <w:style w:type="paragraph" w:customStyle="1" w:styleId="Bullet2">
    <w:name w:val="Bullet 2"/>
    <w:basedOn w:val="Normal"/>
    <w:qFormat/>
    <w:rsid w:val="00046AD2"/>
    <w:pPr>
      <w:numPr>
        <w:ilvl w:val="1"/>
        <w:numId w:val="2"/>
      </w:numPr>
      <w:spacing w:before="0"/>
    </w:pPr>
  </w:style>
  <w:style w:type="paragraph" w:customStyle="1" w:styleId="Bullet3">
    <w:name w:val="Bullet 3"/>
    <w:basedOn w:val="Normal"/>
    <w:qFormat/>
    <w:rsid w:val="00046AD2"/>
    <w:pPr>
      <w:numPr>
        <w:ilvl w:val="2"/>
        <w:numId w:val="2"/>
      </w:numPr>
      <w:spacing w:before="0"/>
    </w:pPr>
  </w:style>
  <w:style w:type="numbering" w:customStyle="1" w:styleId="BulletsList">
    <w:name w:val="Bullets List"/>
    <w:uiPriority w:val="99"/>
    <w:rsid w:val="00046A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document/81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dssdataexchange.helpdesk@dss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ex.dss.gov.au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ocument/8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x.dss.gov.au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CEAB-9711-4145-B08E-7FB1447A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3098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keywords>[SEC=OFFICIAL]</cp:keywords>
  <cp:lastModifiedBy>MOSEY, Sebastian</cp:lastModifiedBy>
  <cp:revision>3</cp:revision>
  <cp:lastPrinted>2018-08-13T06:16:00Z</cp:lastPrinted>
  <dcterms:created xsi:type="dcterms:W3CDTF">2022-09-20T04:25:00Z</dcterms:created>
  <dcterms:modified xsi:type="dcterms:W3CDTF">2022-09-26T06:07:00Z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16DC6003F9934210B30A9CF710718399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2022-09-26T06:07:11Z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E73214F5A5EF4E04D26BCF23AAF221AD</vt:lpwstr>
  </property>
  <property fmtid="{D5CDD505-2E9C-101B-9397-08002B2CF9AE}" pid="21" name="PM_Hash_Salt">
    <vt:lpwstr>6B62DD9471E5E84F4F8C288651331180</vt:lpwstr>
  </property>
  <property fmtid="{D5CDD505-2E9C-101B-9397-08002B2CF9AE}" pid="22" name="PM_Hash_SHA1">
    <vt:lpwstr>F6D85033C5E5B702822E6B029E19EB774A339B14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