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C" w:rsidRDefault="005B4F88" w:rsidP="009A44D1">
      <w:pPr>
        <w:pStyle w:val="Heading1"/>
        <w:tabs>
          <w:tab w:val="left" w:pos="7650"/>
        </w:tabs>
        <w:spacing w:before="0"/>
        <w:rPr>
          <w:rStyle w:val="TitleChar"/>
          <w:rFonts w:ascii="Georgia" w:hAnsi="Georgia" w:cs="Arial"/>
          <w:b w:val="0"/>
          <w:color w:val="04617B" w:themeColor="text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Introduction and </w:t>
      </w:r>
      <w:r w:rsidR="009D0BE4">
        <w:rPr>
          <w:rStyle w:val="TitleChar"/>
          <w:rFonts w:ascii="Georgia" w:hAnsi="Georgia" w:cs="Arial"/>
          <w:b w:val="0"/>
          <w:color w:val="04617B" w:themeColor="text2"/>
        </w:rPr>
        <w:t>a</w:t>
      </w:r>
      <w:r w:rsidR="00E03A9D">
        <w:rPr>
          <w:rStyle w:val="TitleChar"/>
          <w:rFonts w:ascii="Georgia" w:hAnsi="Georgia" w:cs="Arial"/>
          <w:b w:val="0"/>
          <w:color w:val="04617B" w:themeColor="text2"/>
        </w:rPr>
        <w:t>ccess</w:t>
      </w:r>
      <w:r w:rsidR="00C5162C">
        <w:rPr>
          <w:rStyle w:val="TitleChar"/>
          <w:rFonts w:ascii="Georgia" w:hAnsi="Georgia" w:cs="Arial"/>
          <w:b w:val="0"/>
          <w:color w:val="04617B" w:themeColor="text2"/>
        </w:rPr>
        <w:t xml:space="preserve"> </w:t>
      </w:r>
    </w:p>
    <w:p w:rsidR="00197542" w:rsidRDefault="00197542" w:rsidP="00197542">
      <w:pPr>
        <w:spacing w:line="240" w:lineRule="auto"/>
        <w:rPr>
          <w:rFonts w:ascii="Arial" w:hAnsi="Arial" w:cs="Arial"/>
          <w:noProof/>
          <w:sz w:val="22"/>
        </w:rPr>
      </w:pPr>
      <w:bookmarkStart w:id="0" w:name="_Toc465090400"/>
      <w:bookmarkStart w:id="1" w:name="_Toc476063782"/>
      <w:bookmarkStart w:id="2" w:name="_GoBack"/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00DA04F2" wp14:editId="46FC62A0">
                <wp:extent cx="6800850" cy="266700"/>
                <wp:effectExtent l="0" t="0" r="0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670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5D5" w:rsidRPr="007765D5" w:rsidRDefault="00197542" w:rsidP="007765D5">
                            <w:pPr>
                              <w:pStyle w:val="NormalWeb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F67F8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A0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5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" fillcolor="#4eabb5" stroked="f">
                <v:textbox>
                  <w:txbxContent>
                    <w:p w:rsidR="007765D5" w:rsidRPr="007765D5" w:rsidRDefault="00197542" w:rsidP="007765D5">
                      <w:pPr>
                        <w:pStyle w:val="NormalWeb"/>
                        <w:jc w:val="center"/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F67F8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bookmarkEnd w:id="2"/>
    </w:p>
    <w:p w:rsidR="00533EA7" w:rsidRPr="00533EA7" w:rsidRDefault="00533EA7" w:rsidP="00533EA7">
      <w:pPr>
        <w:pStyle w:val="Heading2Numbered"/>
        <w:numPr>
          <w:ilvl w:val="0"/>
          <w:numId w:val="0"/>
        </w:numPr>
        <w:ind w:left="567" w:hanging="567"/>
        <w:rPr>
          <w:rFonts w:ascii="Arial" w:hAnsi="Arial" w:cs="Arial"/>
          <w:sz w:val="28"/>
          <w:szCs w:val="28"/>
        </w:rPr>
      </w:pPr>
      <w:r w:rsidRPr="00533EA7">
        <w:rPr>
          <w:rFonts w:ascii="Arial" w:hAnsi="Arial" w:cs="Arial"/>
          <w:sz w:val="28"/>
          <w:szCs w:val="28"/>
        </w:rPr>
        <w:t>Introduction</w:t>
      </w:r>
    </w:p>
    <w:p w:rsidR="00533EA7" w:rsidRPr="004433E0" w:rsidRDefault="00DF1DD9" w:rsidP="00533E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Data Exchange</w:t>
      </w:r>
      <w:r w:rsidR="00533EA7" w:rsidRPr="004433E0">
        <w:rPr>
          <w:rFonts w:ascii="Arial" w:hAnsi="Arial" w:cs="Arial"/>
          <w:sz w:val="22"/>
        </w:rPr>
        <w:t xml:space="preserve"> is an innovative and intuitive suite of </w:t>
      </w:r>
      <w:r w:rsidR="009C0C8F">
        <w:rPr>
          <w:rFonts w:ascii="Arial" w:hAnsi="Arial" w:cs="Arial"/>
          <w:sz w:val="22"/>
        </w:rPr>
        <w:t>applications</w:t>
      </w:r>
      <w:r w:rsidR="00533EA7" w:rsidRPr="004433E0">
        <w:rPr>
          <w:rFonts w:ascii="Arial" w:hAnsi="Arial" w:cs="Arial"/>
          <w:sz w:val="22"/>
        </w:rPr>
        <w:t xml:space="preserve"> (reports) which display data reported in the Data Exchange. </w:t>
      </w:r>
    </w:p>
    <w:p w:rsidR="00CD7D2A" w:rsidRPr="004433E0" w:rsidRDefault="00CD7D2A" w:rsidP="00CD7D2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 </w:t>
      </w:r>
      <w:r w:rsidR="00DF1DD9">
        <w:rPr>
          <w:rFonts w:ascii="Arial" w:hAnsi="Arial" w:cs="Arial"/>
          <w:sz w:val="22"/>
        </w:rPr>
        <w:t>to the Data Exchange</w:t>
      </w:r>
      <w:r w:rsidRPr="004433E0">
        <w:rPr>
          <w:rFonts w:ascii="Arial" w:hAnsi="Arial" w:cs="Arial"/>
          <w:sz w:val="22"/>
        </w:rPr>
        <w:t xml:space="preserve"> translator </w:t>
      </w:r>
      <w:r w:rsidR="009C0C8F">
        <w:rPr>
          <w:rFonts w:ascii="Arial" w:hAnsi="Arial" w:cs="Arial"/>
          <w:sz w:val="22"/>
        </w:rPr>
        <w:t xml:space="preserve">below </w:t>
      </w:r>
      <w:r>
        <w:rPr>
          <w:rFonts w:ascii="Arial" w:hAnsi="Arial" w:cs="Arial"/>
          <w:sz w:val="22"/>
        </w:rPr>
        <w:t>to find out m</w:t>
      </w:r>
      <w:r w:rsidR="00DF1DD9">
        <w:rPr>
          <w:rFonts w:ascii="Arial" w:hAnsi="Arial" w:cs="Arial"/>
          <w:sz w:val="22"/>
        </w:rPr>
        <w:t>ore about the terms used in Data Exchange</w:t>
      </w:r>
      <w:r>
        <w:rPr>
          <w:rFonts w:ascii="Arial" w:hAnsi="Arial" w:cs="Arial"/>
          <w:sz w:val="22"/>
        </w:rPr>
        <w:t>.</w:t>
      </w:r>
    </w:p>
    <w:p w:rsidR="00533EA7" w:rsidRDefault="00533EA7" w:rsidP="00533EA7">
      <w:pPr>
        <w:pStyle w:val="Caption"/>
        <w:keepNext/>
        <w:spacing w:after="0"/>
        <w:rPr>
          <w:caps w:val="0"/>
        </w:rPr>
      </w:pPr>
      <w:r>
        <w:rPr>
          <w:caps w:val="0"/>
        </w:rPr>
        <w:t xml:space="preserve">Table </w:t>
      </w:r>
      <w:r>
        <w:rPr>
          <w:caps w:val="0"/>
        </w:rPr>
        <w:fldChar w:fldCharType="begin"/>
      </w:r>
      <w:r>
        <w:rPr>
          <w:caps w:val="0"/>
        </w:rPr>
        <w:instrText xml:space="preserve"> SEQ Figure \* ARABIC </w:instrText>
      </w:r>
      <w:r>
        <w:rPr>
          <w:caps w:val="0"/>
        </w:rPr>
        <w:fldChar w:fldCharType="separate"/>
      </w:r>
      <w:r w:rsidR="00DE1175">
        <w:rPr>
          <w:caps w:val="0"/>
          <w:noProof/>
        </w:rPr>
        <w:t>1</w:t>
      </w:r>
      <w:r>
        <w:rPr>
          <w:caps w:val="0"/>
        </w:rPr>
        <w:fldChar w:fldCharType="end"/>
      </w:r>
      <w:r>
        <w:t xml:space="preserve"> – </w:t>
      </w:r>
      <w:r>
        <w:rPr>
          <w:caps w:val="0"/>
        </w:rPr>
        <w:t>Qlik translator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Qlik translator"/>
        <w:tblDescription w:val="This table providers common terms used in the Qlik report application."/>
      </w:tblPr>
      <w:tblGrid>
        <w:gridCol w:w="1818"/>
        <w:gridCol w:w="8814"/>
      </w:tblGrid>
      <w:tr w:rsidR="00533EA7" w:rsidRPr="004433E0" w:rsidTr="00927FE5">
        <w:trPr>
          <w:trHeight w:val="420"/>
          <w:tblHeader/>
        </w:trPr>
        <w:tc>
          <w:tcPr>
            <w:tcW w:w="1818" w:type="dxa"/>
            <w:shd w:val="clear" w:color="auto" w:fill="02303D" w:themeFill="accent2" w:themeFillShade="80"/>
            <w:vAlign w:val="center"/>
          </w:tcPr>
          <w:p w:rsidR="00533EA7" w:rsidRPr="004433E0" w:rsidRDefault="00F02A8A" w:rsidP="004E6A37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QLIK TERM</w:t>
            </w:r>
          </w:p>
        </w:tc>
        <w:tc>
          <w:tcPr>
            <w:tcW w:w="8814" w:type="dxa"/>
            <w:shd w:val="clear" w:color="auto" w:fill="02303D" w:themeFill="accent2" w:themeFillShade="80"/>
            <w:vAlign w:val="center"/>
          </w:tcPr>
          <w:p w:rsidR="00533EA7" w:rsidRPr="004433E0" w:rsidRDefault="00F02A8A" w:rsidP="004E6A37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533EA7" w:rsidRPr="004433E0" w:rsidTr="00927FE5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App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Is the report name.</w:t>
            </w:r>
          </w:p>
        </w:tc>
      </w:tr>
      <w:tr w:rsidR="00533EA7" w:rsidRPr="004433E0" w:rsidTr="00927FE5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Drill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Click to drill down into the selected item.</w:t>
            </w:r>
          </w:p>
        </w:tc>
      </w:tr>
      <w:tr w:rsidR="00533EA7" w:rsidRPr="004433E0" w:rsidTr="00927FE5">
        <w:trPr>
          <w:trHeight w:val="420"/>
          <w:tblHeader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noProof/>
                <w:sz w:val="22"/>
                <w:lang w:eastAsia="en-AU"/>
              </w:rPr>
            </w:pPr>
            <w:r w:rsidRPr="0086577B">
              <w:rPr>
                <w:rFonts w:ascii="Arial" w:hAnsi="Arial" w:cs="Arial"/>
                <w:b/>
                <w:noProof/>
                <w:sz w:val="22"/>
                <w:lang w:eastAsia="en-AU"/>
              </w:rPr>
              <w:t>Hub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  <w:lang w:eastAsia="en-AU"/>
              </w:rPr>
            </w:pPr>
            <w:r w:rsidRPr="004433E0">
              <w:rPr>
                <w:rFonts w:ascii="Arial" w:hAnsi="Arial" w:cs="Arial"/>
                <w:sz w:val="22"/>
                <w:lang w:eastAsia="en-AU"/>
              </w:rPr>
              <w:t>When Qlik starts up, you arrive at the hub. The hub is where you find all the apps you have access rights to use.</w:t>
            </w:r>
          </w:p>
        </w:tc>
      </w:tr>
      <w:tr w:rsidR="00533EA7" w:rsidRPr="004433E0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Sheet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page or screen.</w:t>
            </w:r>
          </w:p>
        </w:tc>
      </w:tr>
      <w:tr w:rsidR="00533EA7" w:rsidRPr="004433E0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Snapshot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9C0C8F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sc</w:t>
            </w:r>
            <w:r w:rsidR="009C0C8F">
              <w:rPr>
                <w:rFonts w:ascii="Arial" w:hAnsi="Arial" w:cs="Arial"/>
                <w:sz w:val="22"/>
              </w:rPr>
              <w:t xml:space="preserve">reenshot of a graph or </w:t>
            </w:r>
            <w:r w:rsidR="00CD7D2A">
              <w:rPr>
                <w:rFonts w:ascii="Arial" w:hAnsi="Arial" w:cs="Arial"/>
                <w:sz w:val="22"/>
              </w:rPr>
              <w:t>image.</w:t>
            </w:r>
          </w:p>
        </w:tc>
      </w:tr>
      <w:tr w:rsidR="00533EA7" w:rsidRPr="004433E0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Story</w:t>
            </w:r>
          </w:p>
        </w:tc>
        <w:tc>
          <w:tcPr>
            <w:tcW w:w="8814" w:type="dxa"/>
            <w:shd w:val="clear" w:color="auto" w:fill="F2F2F2" w:themeFill="background1" w:themeFillShade="F2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presentation.</w:t>
            </w:r>
          </w:p>
        </w:tc>
      </w:tr>
      <w:tr w:rsidR="00533EA7" w:rsidRPr="004433E0" w:rsidTr="00927FE5">
        <w:trPr>
          <w:trHeight w:val="408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533EA7" w:rsidRPr="0086577B" w:rsidRDefault="00533EA7" w:rsidP="004E6A37">
            <w:pPr>
              <w:rPr>
                <w:rFonts w:ascii="Arial" w:hAnsi="Arial" w:cs="Arial"/>
                <w:b/>
                <w:sz w:val="22"/>
              </w:rPr>
            </w:pPr>
            <w:r w:rsidRPr="0086577B">
              <w:rPr>
                <w:rFonts w:ascii="Arial" w:hAnsi="Arial" w:cs="Arial"/>
                <w:b/>
                <w:sz w:val="22"/>
              </w:rPr>
              <w:t>Visualization</w:t>
            </w:r>
          </w:p>
        </w:tc>
        <w:tc>
          <w:tcPr>
            <w:tcW w:w="8814" w:type="dxa"/>
            <w:shd w:val="clear" w:color="auto" w:fill="FFFFFF" w:themeFill="background1"/>
            <w:vAlign w:val="center"/>
          </w:tcPr>
          <w:p w:rsidR="00533EA7" w:rsidRPr="004433E0" w:rsidRDefault="00533EA7" w:rsidP="004E6A37">
            <w:pPr>
              <w:rPr>
                <w:rFonts w:ascii="Arial" w:hAnsi="Arial" w:cs="Arial"/>
                <w:sz w:val="22"/>
              </w:rPr>
            </w:pPr>
            <w:r w:rsidRPr="004433E0">
              <w:rPr>
                <w:rFonts w:ascii="Arial" w:hAnsi="Arial" w:cs="Arial"/>
                <w:sz w:val="22"/>
              </w:rPr>
              <w:t>Is a chart or table that presents data in an easy to read way.</w:t>
            </w:r>
          </w:p>
        </w:tc>
      </w:tr>
    </w:tbl>
    <w:p w:rsidR="005663D8" w:rsidRDefault="005663D8" w:rsidP="00981CF2"/>
    <w:p w:rsidR="00533EA7" w:rsidRPr="00533EA7" w:rsidRDefault="00533EA7" w:rsidP="00CD7D2A">
      <w:pPr>
        <w:pStyle w:val="Heading2Numbered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Access and </w:t>
      </w:r>
      <w:r w:rsidR="00E03A9D" w:rsidRPr="002A6CCF">
        <w:rPr>
          <w:rFonts w:ascii="Arial" w:hAnsi="Arial" w:cs="Arial"/>
          <w:sz w:val="28"/>
          <w:szCs w:val="28"/>
        </w:rPr>
        <w:t>Log in</w:t>
      </w:r>
      <w:bookmarkEnd w:id="0"/>
      <w:bookmarkEnd w:id="1"/>
    </w:p>
    <w:p w:rsidR="00533EA7" w:rsidRDefault="00533EA7" w:rsidP="00CD7D2A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From the Data Exchange web-site portal, select </w:t>
      </w:r>
      <w:r>
        <w:rPr>
          <w:noProof/>
          <w:lang w:eastAsia="en-AU"/>
        </w:rPr>
        <w:drawing>
          <wp:inline distT="0" distB="0" distL="0" distR="0" wp14:anchorId="7E56807C" wp14:editId="578C1373">
            <wp:extent cx="600075" cy="232529"/>
            <wp:effectExtent l="0" t="0" r="0" b="0"/>
            <wp:docPr id="9" name="Picture 9" descr="This is a screen shot of the Data Exchange web-site portal, highlighting the Go button to access the Partnership Approach reports." title="The Go button for the Partnership Approach re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located in the </w:t>
      </w:r>
      <w:r w:rsidRPr="00B46262">
        <w:rPr>
          <w:rFonts w:ascii="Arial" w:hAnsi="Arial" w:cs="Arial"/>
          <w:b/>
          <w:sz w:val="22"/>
        </w:rPr>
        <w:t>Access MyDEX reports</w:t>
      </w:r>
      <w:r>
        <w:rPr>
          <w:rFonts w:ascii="Arial" w:hAnsi="Arial" w:cs="Arial"/>
          <w:sz w:val="22"/>
        </w:rPr>
        <w:t xml:space="preserve"> box.</w:t>
      </w:r>
    </w:p>
    <w:p w:rsidR="00533EA7" w:rsidRDefault="0073500A" w:rsidP="00533EA7">
      <w:pPr>
        <w:pStyle w:val="Caption"/>
        <w:keepNext/>
      </w:pPr>
      <w:r>
        <w:rPr>
          <w:caps w:val="0"/>
        </w:rPr>
        <w:t xml:space="preserve"> </w:t>
      </w:r>
      <w:r w:rsidR="00533EA7">
        <w:rPr>
          <w:caps w:val="0"/>
        </w:rPr>
        <w:t xml:space="preserve">Figure </w:t>
      </w:r>
      <w:r w:rsidR="00CD7D2A">
        <w:rPr>
          <w:caps w:val="0"/>
        </w:rPr>
        <w:t>1</w:t>
      </w:r>
      <w:r w:rsidR="00533EA7">
        <w:rPr>
          <w:caps w:val="0"/>
        </w:rPr>
        <w:t xml:space="preserve"> - The Data Exchange web-site p</w:t>
      </w:r>
      <w:r w:rsidR="00533EA7" w:rsidRPr="00533EA7">
        <w:rPr>
          <w:caps w:val="0"/>
        </w:rPr>
        <w:t>ortal</w:t>
      </w:r>
    </w:p>
    <w:p w:rsidR="00533EA7" w:rsidRDefault="0073500A" w:rsidP="00533EA7">
      <w:pPr>
        <w:spacing w:before="0" w:after="0"/>
        <w:rPr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 w:rsidR="00533EA7">
        <w:rPr>
          <w:noProof/>
          <w:lang w:eastAsia="en-AU"/>
        </w:rPr>
        <w:drawing>
          <wp:inline distT="0" distB="0" distL="0" distR="0" wp14:anchorId="33D30D1A" wp14:editId="42AA6E9E">
            <wp:extent cx="4924449" cy="3132499"/>
            <wp:effectExtent l="19050" t="19050" r="9525" b="10795"/>
            <wp:docPr id="10" name="Picture 10" descr="This is a screen shot of the Data Exchange web-site portal, highlighting the Go button to access the Partnership Approach reports." title="The Data Exchange web-site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7090" cy="3153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1CF2" w:rsidRDefault="004C17DD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33EA7" w:rsidRDefault="00533EA7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The </w:t>
      </w:r>
      <w:r w:rsidRPr="00B46262">
        <w:rPr>
          <w:rFonts w:ascii="Arial" w:hAnsi="Arial" w:cs="Arial"/>
          <w:b/>
          <w:sz w:val="22"/>
        </w:rPr>
        <w:t>Reports screen</w:t>
      </w:r>
      <w:r>
        <w:rPr>
          <w:rFonts w:ascii="Arial" w:hAnsi="Arial" w:cs="Arial"/>
          <w:sz w:val="22"/>
        </w:rPr>
        <w:t xml:space="preserve"> will display.</w:t>
      </w:r>
    </w:p>
    <w:p w:rsidR="00533EA7" w:rsidRPr="00CD7D2A" w:rsidRDefault="0073500A" w:rsidP="00533EA7">
      <w:pPr>
        <w:pStyle w:val="Caption"/>
        <w:keepNext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 xml:space="preserve"> </w:t>
      </w:r>
      <w:r w:rsidR="00533EA7" w:rsidRPr="00CD7D2A">
        <w:rPr>
          <w:rFonts w:ascii="Arial" w:hAnsi="Arial" w:cs="Arial"/>
          <w:caps w:val="0"/>
        </w:rPr>
        <w:t xml:space="preserve">Figure </w:t>
      </w:r>
      <w:r w:rsidR="00CD7D2A" w:rsidRPr="00CD7D2A">
        <w:rPr>
          <w:rFonts w:ascii="Arial" w:hAnsi="Arial" w:cs="Arial"/>
          <w:caps w:val="0"/>
        </w:rPr>
        <w:t>2</w:t>
      </w:r>
      <w:r w:rsidR="00533EA7" w:rsidRPr="00CD7D2A">
        <w:rPr>
          <w:rFonts w:ascii="Arial" w:hAnsi="Arial" w:cs="Arial"/>
          <w:caps w:val="0"/>
        </w:rPr>
        <w:t xml:space="preserve"> </w:t>
      </w:r>
      <w:r w:rsidR="00AC786B" w:rsidRPr="00AC786B">
        <w:rPr>
          <w:rFonts w:ascii="Arial" w:hAnsi="Arial" w:cs="Arial"/>
          <w:caps w:val="0"/>
        </w:rPr>
        <w:t>–</w:t>
      </w:r>
      <w:r w:rsidR="00533EA7" w:rsidRPr="00CD7D2A">
        <w:rPr>
          <w:rFonts w:ascii="Arial" w:hAnsi="Arial" w:cs="Arial"/>
          <w:caps w:val="0"/>
        </w:rPr>
        <w:t xml:space="preserve"> The Reports screen</w:t>
      </w:r>
    </w:p>
    <w:p w:rsidR="00CD7D2A" w:rsidRPr="00CD7D2A" w:rsidRDefault="0073500A" w:rsidP="00CD7D2A">
      <w:pPr>
        <w:spacing w:before="0"/>
        <w:rPr>
          <w:b/>
        </w:rPr>
      </w:pPr>
      <w:r>
        <w:rPr>
          <w:noProof/>
          <w:lang w:eastAsia="en-AU"/>
        </w:rPr>
        <w:t xml:space="preserve"> </w:t>
      </w:r>
      <w:r w:rsidR="00981CF2">
        <w:rPr>
          <w:noProof/>
          <w:lang w:eastAsia="en-AU"/>
        </w:rPr>
        <w:drawing>
          <wp:inline distT="0" distB="0" distL="0" distR="0" wp14:anchorId="77930398" wp14:editId="2E49B377">
            <wp:extent cx="5097101" cy="2625090"/>
            <wp:effectExtent l="19050" t="19050" r="27940" b="22860"/>
            <wp:docPr id="22" name="Picture 22" descr="This is a screenshot of the Reports screen, showing Standard and Partnership report tiles" title="Report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3305"/>
                    <a:stretch/>
                  </pic:blipFill>
                  <pic:spPr bwMode="auto">
                    <a:xfrm>
                      <a:off x="0" y="0"/>
                      <a:ext cx="5097101" cy="2625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CF2" w:rsidRDefault="00981CF2" w:rsidP="00533EA7">
      <w:pPr>
        <w:spacing w:before="0" w:after="0"/>
        <w:rPr>
          <w:rFonts w:ascii="Arial" w:hAnsi="Arial" w:cs="Arial"/>
          <w:noProof/>
          <w:sz w:val="22"/>
          <w:lang w:eastAsia="en-AU"/>
        </w:rPr>
      </w:pPr>
    </w:p>
    <w:p w:rsidR="00533EA7" w:rsidRPr="00CD7D2A" w:rsidRDefault="00CD7D2A" w:rsidP="00533EA7">
      <w:pPr>
        <w:spacing w:before="0" w:after="0"/>
        <w:rPr>
          <w:rFonts w:ascii="Arial" w:hAnsi="Arial" w:cs="Arial"/>
          <w:noProof/>
          <w:sz w:val="22"/>
          <w:lang w:eastAsia="en-AU"/>
        </w:rPr>
      </w:pPr>
      <w:r w:rsidRPr="00CD7D2A">
        <w:rPr>
          <w:rFonts w:ascii="Arial" w:hAnsi="Arial" w:cs="Arial"/>
          <w:noProof/>
          <w:sz w:val="22"/>
          <w:lang w:eastAsia="en-AU"/>
        </w:rPr>
        <w:t xml:space="preserve">Select </w:t>
      </w:r>
      <w:r w:rsidR="00981CF2">
        <w:rPr>
          <w:rFonts w:ascii="Arial" w:hAnsi="Arial" w:cs="Arial"/>
          <w:noProof/>
          <w:sz w:val="22"/>
          <w:lang w:eastAsia="en-AU"/>
        </w:rPr>
        <w:t>a</w:t>
      </w:r>
      <w:r w:rsidRPr="00CD7D2A">
        <w:rPr>
          <w:rFonts w:ascii="Arial" w:hAnsi="Arial" w:cs="Arial"/>
          <w:noProof/>
          <w:sz w:val="22"/>
          <w:lang w:eastAsia="en-AU"/>
        </w:rPr>
        <w:t xml:space="preserve"> </w:t>
      </w:r>
      <w:r w:rsidR="00981CF2" w:rsidRPr="00981CF2">
        <w:rPr>
          <w:rFonts w:ascii="Arial" w:hAnsi="Arial" w:cs="Arial"/>
          <w:b/>
          <w:noProof/>
          <w:sz w:val="22"/>
          <w:lang w:eastAsia="en-AU"/>
        </w:rPr>
        <w:t>R</w:t>
      </w:r>
      <w:r w:rsidR="00981CF2">
        <w:rPr>
          <w:rFonts w:ascii="Arial" w:hAnsi="Arial" w:cs="Arial"/>
          <w:b/>
          <w:noProof/>
          <w:sz w:val="22"/>
          <w:lang w:eastAsia="en-AU"/>
        </w:rPr>
        <w:t>eport</w:t>
      </w:r>
      <w:r w:rsidRPr="00CD7D2A">
        <w:rPr>
          <w:rFonts w:ascii="Arial" w:hAnsi="Arial" w:cs="Arial"/>
          <w:noProof/>
          <w:sz w:val="22"/>
          <w:lang w:eastAsia="en-AU"/>
        </w:rPr>
        <w:t xml:space="preserve"> tile.</w:t>
      </w:r>
    </w:p>
    <w:p w:rsidR="00CD7D2A" w:rsidRPr="00CD7D2A" w:rsidRDefault="0073500A" w:rsidP="00CD7D2A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CD7D2A" w:rsidRPr="00CD7D2A">
        <w:rPr>
          <w:rFonts w:ascii="Arial" w:hAnsi="Arial" w:cs="Arial"/>
          <w:caps w:val="0"/>
        </w:rPr>
        <w:t xml:space="preserve">Figure 3 – </w:t>
      </w:r>
      <w:r w:rsidR="00003127">
        <w:rPr>
          <w:rFonts w:ascii="Arial" w:hAnsi="Arial" w:cs="Arial"/>
          <w:caps w:val="0"/>
        </w:rPr>
        <w:t>Standard</w:t>
      </w:r>
      <w:r w:rsidR="00CD7D2A" w:rsidRPr="00CD7D2A">
        <w:rPr>
          <w:rFonts w:ascii="Arial" w:hAnsi="Arial" w:cs="Arial"/>
          <w:caps w:val="0"/>
        </w:rPr>
        <w:t xml:space="preserve"> reports tile</w:t>
      </w:r>
    </w:p>
    <w:p w:rsidR="00CD7D2A" w:rsidRDefault="00003127" w:rsidP="00533EA7">
      <w:pPr>
        <w:spacing w:before="0" w:after="0"/>
        <w:rPr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A611599" wp14:editId="364A528D">
            <wp:extent cx="1584356" cy="2280414"/>
            <wp:effectExtent l="19050" t="19050" r="15875" b="24765"/>
            <wp:docPr id="2" name="Picture 2" descr="This is a screen shot of the Report tile." title="Report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3621" cy="23081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81CF2">
        <w:rPr>
          <w:noProof/>
          <w:lang w:eastAsia="en-AU"/>
        </w:rPr>
        <w:t xml:space="preserve"> </w:t>
      </w:r>
    </w:p>
    <w:p w:rsidR="00981CF2" w:rsidRDefault="00981CF2" w:rsidP="00981CF2">
      <w:pPr>
        <w:spacing w:before="0" w:after="0"/>
        <w:rPr>
          <w:rFonts w:ascii="Arial" w:hAnsi="Arial" w:cs="Arial"/>
          <w:sz w:val="22"/>
        </w:rPr>
      </w:pPr>
    </w:p>
    <w:p w:rsidR="00E03A9D" w:rsidRPr="00E03A9D" w:rsidRDefault="00CD7D2A" w:rsidP="00E03A9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79207E">
        <w:rPr>
          <w:rFonts w:ascii="Arial" w:hAnsi="Arial" w:cs="Arial"/>
          <w:sz w:val="22"/>
        </w:rPr>
        <w:t xml:space="preserve"> </w:t>
      </w:r>
      <w:r w:rsidR="00E03A9D" w:rsidRPr="00E03A9D">
        <w:rPr>
          <w:rFonts w:ascii="Arial" w:hAnsi="Arial" w:cs="Arial"/>
          <w:b/>
          <w:sz w:val="22"/>
        </w:rPr>
        <w:t>Login</w:t>
      </w:r>
      <w:r w:rsidR="00E03A9D" w:rsidRPr="00E03A9D">
        <w:rPr>
          <w:rFonts w:ascii="Arial" w:hAnsi="Arial" w:cs="Arial"/>
          <w:sz w:val="22"/>
        </w:rPr>
        <w:t xml:space="preserve"> screen</w:t>
      </w:r>
      <w:r>
        <w:rPr>
          <w:rFonts w:ascii="Arial" w:hAnsi="Arial" w:cs="Arial"/>
          <w:sz w:val="22"/>
        </w:rPr>
        <w:t xml:space="preserve"> will display.</w:t>
      </w:r>
      <w:r w:rsidR="00E03A9D" w:rsidRPr="00E03A9D">
        <w:rPr>
          <w:rFonts w:ascii="Arial" w:hAnsi="Arial" w:cs="Arial"/>
          <w:sz w:val="22"/>
        </w:rPr>
        <w:t xml:space="preserve"> </w:t>
      </w:r>
    </w:p>
    <w:p w:rsidR="00CD7D2A" w:rsidRPr="00CD7D2A" w:rsidRDefault="0073500A" w:rsidP="00CD7D2A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CD7D2A" w:rsidRPr="00CD7D2A">
        <w:rPr>
          <w:rFonts w:ascii="Arial" w:hAnsi="Arial" w:cs="Arial"/>
          <w:caps w:val="0"/>
        </w:rPr>
        <w:t>Figure 4 – The Login screen</w:t>
      </w:r>
    </w:p>
    <w:p w:rsidR="00E03A9D" w:rsidRDefault="00927FE5" w:rsidP="0079207E">
      <w:pPr>
        <w:spacing w:before="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3B4493F" wp14:editId="766AD09F">
            <wp:extent cx="1922936" cy="2333625"/>
            <wp:effectExtent l="19050" t="19050" r="203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35" cy="2354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81CF2">
        <w:rPr>
          <w:noProof/>
          <w:lang w:eastAsia="en-AU"/>
        </w:rPr>
        <w:t xml:space="preserve"> </w:t>
      </w:r>
    </w:p>
    <w:p w:rsidR="00E03A9D" w:rsidRPr="00197542" w:rsidRDefault="00CD7D2A" w:rsidP="00B46262">
      <w:pPr>
        <w:pStyle w:val="ListParagraph"/>
        <w:spacing w:after="0"/>
        <w:ind w:left="0"/>
        <w:rPr>
          <w:lang w:eastAsia="en-AU"/>
        </w:rPr>
      </w:pPr>
      <w:r w:rsidRPr="00CD7D2A">
        <w:rPr>
          <w:rFonts w:ascii="Arial" w:hAnsi="Arial" w:cs="Arial"/>
          <w:sz w:val="22"/>
        </w:rPr>
        <w:t xml:space="preserve">Login </w:t>
      </w:r>
      <w:r w:rsidR="00927FE5">
        <w:rPr>
          <w:rFonts w:ascii="Arial" w:hAnsi="Arial" w:cs="Arial"/>
          <w:sz w:val="22"/>
        </w:rPr>
        <w:t>with your Digital Identity</w:t>
      </w:r>
      <w:r w:rsidRPr="00CD7D2A">
        <w:rPr>
          <w:rFonts w:ascii="Arial" w:hAnsi="Arial" w:cs="Arial"/>
          <w:sz w:val="22"/>
        </w:rPr>
        <w:t xml:space="preserve">. </w:t>
      </w:r>
    </w:p>
    <w:p w:rsidR="00197542" w:rsidRDefault="00197542" w:rsidP="00AC786B">
      <w:pPr>
        <w:spacing w:before="0" w:after="0"/>
        <w:rPr>
          <w:lang w:eastAsia="en-AU"/>
        </w:rPr>
      </w:pPr>
      <w:r>
        <w:rPr>
          <w:lang w:eastAsia="en-AU"/>
        </w:rPr>
        <w:br w:type="page"/>
      </w:r>
    </w:p>
    <w:p w:rsidR="00197542" w:rsidRPr="00B46262" w:rsidRDefault="00197542" w:rsidP="00B46262">
      <w:pPr>
        <w:spacing w:after="0"/>
        <w:rPr>
          <w:rFonts w:ascii="Arial" w:hAnsi="Arial" w:cs="Arial"/>
          <w:sz w:val="22"/>
          <w:lang w:eastAsia="en-AU"/>
        </w:rPr>
      </w:pPr>
      <w:r w:rsidRPr="00B46262">
        <w:rPr>
          <w:rFonts w:ascii="Arial" w:hAnsi="Arial" w:cs="Arial"/>
          <w:sz w:val="22"/>
          <w:lang w:eastAsia="en-AU"/>
        </w:rPr>
        <w:lastRenderedPageBreak/>
        <w:t xml:space="preserve">The </w:t>
      </w:r>
      <w:r w:rsidRPr="00B46262">
        <w:rPr>
          <w:rFonts w:ascii="Arial" w:hAnsi="Arial" w:cs="Arial"/>
          <w:b/>
          <w:sz w:val="22"/>
          <w:lang w:eastAsia="en-AU"/>
        </w:rPr>
        <w:t>Qlik Sense</w:t>
      </w:r>
      <w:r w:rsidRPr="00B46262">
        <w:rPr>
          <w:rFonts w:ascii="Arial" w:hAnsi="Arial" w:cs="Arial"/>
          <w:sz w:val="22"/>
          <w:lang w:eastAsia="en-AU"/>
        </w:rPr>
        <w:t xml:space="preserve"> screen will display.</w:t>
      </w:r>
    </w:p>
    <w:p w:rsidR="00197542" w:rsidRPr="00CD7D2A" w:rsidRDefault="0073500A" w:rsidP="00197542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 </w:t>
      </w:r>
      <w:r w:rsidR="00197542" w:rsidRPr="00CD7D2A">
        <w:rPr>
          <w:rFonts w:ascii="Arial" w:hAnsi="Arial" w:cs="Arial"/>
          <w:caps w:val="0"/>
        </w:rPr>
        <w:t xml:space="preserve">Figure </w:t>
      </w:r>
      <w:r w:rsidR="00AC786B">
        <w:rPr>
          <w:rFonts w:ascii="Arial" w:hAnsi="Arial" w:cs="Arial"/>
          <w:caps w:val="0"/>
        </w:rPr>
        <w:t>6</w:t>
      </w:r>
      <w:r w:rsidR="00AC786B" w:rsidRPr="00AC786B">
        <w:rPr>
          <w:rFonts w:ascii="Arial" w:hAnsi="Arial" w:cs="Arial"/>
          <w:caps w:val="0"/>
        </w:rPr>
        <w:t xml:space="preserve"> –</w:t>
      </w:r>
      <w:r w:rsidR="00197542">
        <w:rPr>
          <w:rFonts w:ascii="Arial" w:hAnsi="Arial" w:cs="Arial"/>
          <w:caps w:val="0"/>
        </w:rPr>
        <w:t>The Qlik Sense s</w:t>
      </w:r>
      <w:r w:rsidR="00197542" w:rsidRPr="00CD7D2A">
        <w:rPr>
          <w:rFonts w:ascii="Arial" w:hAnsi="Arial" w:cs="Arial"/>
          <w:caps w:val="0"/>
        </w:rPr>
        <w:t>creen</w:t>
      </w:r>
    </w:p>
    <w:p w:rsidR="00197542" w:rsidRPr="0078277B" w:rsidRDefault="0073500A" w:rsidP="00197542">
      <w:pPr>
        <w:spacing w:before="0" w:after="0"/>
        <w:rPr>
          <w:lang w:eastAsia="en-AU"/>
        </w:rPr>
      </w:pPr>
      <w:r>
        <w:rPr>
          <w:noProof/>
          <w:lang w:eastAsia="en-AU"/>
        </w:rPr>
        <w:t xml:space="preserve"> </w:t>
      </w:r>
      <w:r w:rsidR="00197542">
        <w:rPr>
          <w:noProof/>
          <w:lang w:eastAsia="en-AU"/>
        </w:rPr>
        <w:drawing>
          <wp:inline distT="0" distB="0" distL="0" distR="0" wp14:anchorId="171FD26C" wp14:editId="3AD83062">
            <wp:extent cx="3724275" cy="1844000"/>
            <wp:effectExtent l="19050" t="19050" r="9525" b="23495"/>
            <wp:docPr id="15" name="Picture 15" descr="This is a screen shot of the The Qlik Sense screen displaying the Resource Planning and Service Footprint tiles." title="The Qlik Sens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4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7D2A" w:rsidRDefault="00197542" w:rsidP="005663D8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Select the required report.</w:t>
      </w:r>
    </w:p>
    <w:p w:rsidR="004145F0" w:rsidRPr="00BA5859" w:rsidRDefault="004145F0" w:rsidP="00BA5859">
      <w:pPr>
        <w:pStyle w:val="Caption"/>
        <w:keepNext/>
        <w:rPr>
          <w:rFonts w:ascii="Arial" w:hAnsi="Arial" w:cs="Arial"/>
          <w:caps w:val="0"/>
        </w:rPr>
      </w:pPr>
      <w:r w:rsidRPr="00BA5859">
        <w:rPr>
          <w:rFonts w:ascii="Arial" w:hAnsi="Arial" w:cs="Arial"/>
          <w:caps w:val="0"/>
        </w:rPr>
        <w:t>Table 2 – Qlik navigation items</w:t>
      </w:r>
    </w:p>
    <w:tbl>
      <w:tblPr>
        <w:tblStyle w:val="TableGrid"/>
        <w:tblW w:w="10632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Service footprint report screen navigation items"/>
        <w:tblDescription w:val="This table provides descriptions of buttons found at the Service Footrprint report navigation items."/>
      </w:tblPr>
      <w:tblGrid>
        <w:gridCol w:w="2556"/>
        <w:gridCol w:w="8076"/>
      </w:tblGrid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b/>
                <w:noProof/>
                <w:color w:val="FFFFFF" w:themeColor="background1"/>
                <w:sz w:val="22"/>
                <w:lang w:eastAsia="en-AU"/>
              </w:rPr>
              <w:t>ITEM</w:t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2303D" w:themeFill="accent2" w:themeFillShade="80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b/>
                <w:color w:val="FFFFFF" w:themeColor="background1"/>
                <w:sz w:val="22"/>
                <w:lang w:eastAsia="en-AU"/>
              </w:rPr>
              <w:t>DESCRIPTION</w:t>
            </w:r>
          </w:p>
        </w:tc>
      </w:tr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  <w:drawing>
                <wp:inline distT="0" distB="0" distL="0" distR="0" wp14:anchorId="31F26448" wp14:editId="3AFDF500">
                  <wp:extent cx="266700" cy="209550"/>
                  <wp:effectExtent l="19050" t="19050" r="19050" b="19050"/>
                  <wp:docPr id="308" name="Picture 308" descr="Navigation icon" title="Navig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4145F0" w:rsidRPr="004C17DD" w:rsidRDefault="004145F0" w:rsidP="004145F0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N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avigation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icon to return you to the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Open hub</w:t>
            </w:r>
          </w:p>
        </w:tc>
      </w:tr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noProof/>
                <w:color w:val="FF0000"/>
                <w:sz w:val="22"/>
                <w:lang w:eastAsia="en-AU"/>
              </w:rPr>
              <w:drawing>
                <wp:inline distT="0" distB="0" distL="0" distR="0" wp14:anchorId="3BACC87B" wp14:editId="6E93FB76">
                  <wp:extent cx="266700" cy="180975"/>
                  <wp:effectExtent l="19050" t="19050" r="19050" b="28575"/>
                  <wp:docPr id="309" name="Picture 309" descr="Menu icon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sz w:val="22"/>
                <w:lang w:eastAsia="en-AU"/>
              </w:rPr>
              <w:t>M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enu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icon to display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Help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About</w:t>
            </w:r>
            <w:r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  <w:tr w:rsidR="004145F0" w:rsidRPr="004C17DD" w:rsidTr="00B379BC">
        <w:trPr>
          <w:trHeight w:val="420"/>
          <w:tblHeader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3E22C378" wp14:editId="56B1B81F">
                  <wp:extent cx="180975" cy="219075"/>
                  <wp:effectExtent l="19050" t="19050" r="28575" b="28575"/>
                  <wp:docPr id="66" name="Picture 66" descr="Bookmark icon" title="Book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ookmark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icon to save the reference point in the sheet.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7AF15BD1" wp14:editId="185C69F9">
                  <wp:extent cx="247650" cy="257175"/>
                  <wp:effectExtent l="19050" t="19050" r="19050" b="28575"/>
                  <wp:docPr id="511" name="Picture 511" descr="Story icon" title="Stor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tor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ies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icon to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>access the stories already set up.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17DD">
              <w:rPr>
                <w:rFonts w:ascii="Arial" w:hAnsi="Arial" w:cs="Arial"/>
                <w:noProof/>
                <w:sz w:val="22"/>
                <w:lang w:eastAsia="en-AU"/>
              </w:rPr>
              <w:drawing>
                <wp:inline distT="0" distB="0" distL="0" distR="0" wp14:anchorId="2C5A317A" wp14:editId="1B28DBC1">
                  <wp:extent cx="403654" cy="170463"/>
                  <wp:effectExtent l="19050" t="19050" r="15875" b="20320"/>
                  <wp:docPr id="68" name="Picture 68" descr="Menu viewer button" title="Menu viewer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54" cy="1704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Menu v</w:t>
            </w:r>
            <w:r w:rsidRPr="004C17DD">
              <w:rPr>
                <w:rFonts w:ascii="Arial" w:hAnsi="Arial" w:cs="Arial"/>
                <w:b/>
                <w:sz w:val="22"/>
                <w:lang w:eastAsia="en-AU"/>
              </w:rPr>
              <w:t>iewer</w:t>
            </w:r>
            <w:r w:rsidRPr="004C17DD">
              <w:rPr>
                <w:rFonts w:ascii="Arial" w:hAnsi="Arial" w:cs="Arial"/>
                <w:color w:val="FF0000"/>
                <w:sz w:val="22"/>
                <w:lang w:eastAsia="en-AU"/>
              </w:rPr>
              <w:t xml:space="preserve"> </w:t>
            </w:r>
            <w:r w:rsidRPr="004C17DD">
              <w:rPr>
                <w:rFonts w:ascii="Arial" w:hAnsi="Arial" w:cs="Arial"/>
                <w:sz w:val="22"/>
                <w:lang w:eastAsia="en-AU"/>
              </w:rPr>
              <w:t xml:space="preserve">to display the items in grid or list view. 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Pr="004C17DD" w:rsidRDefault="004145F0" w:rsidP="00B379BC">
            <w:pPr>
              <w:jc w:val="center"/>
              <w:rPr>
                <w:rFonts w:ascii="Arial" w:hAnsi="Arial" w:cs="Arial"/>
                <w:noProof/>
                <w:sz w:val="22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9834B11" wp14:editId="0CE37763">
                  <wp:extent cx="1447800" cy="180975"/>
                  <wp:effectExtent l="19050" t="19050" r="19050" b="28575"/>
                  <wp:docPr id="1" name="Picture 1" descr="This is a screen shot of the Sheets drop down arrow." title="Sheets drop 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45F0" w:rsidRPr="004C17DD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S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>heets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drop down arrow to view available report types.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67CAE3" wp14:editId="61DF2999">
                  <wp:extent cx="533400" cy="183535"/>
                  <wp:effectExtent l="19050" t="19050" r="19050" b="26035"/>
                  <wp:docPr id="4" name="Picture 4" descr="This is a screen shot of the Back and forward buttons." title="Back and forward butt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83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B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>ack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F</w:t>
            </w:r>
            <w:r w:rsidRPr="00D3685A">
              <w:rPr>
                <w:rFonts w:ascii="Arial" w:hAnsi="Arial" w:cs="Arial"/>
                <w:b/>
                <w:sz w:val="22"/>
                <w:lang w:eastAsia="en-AU"/>
              </w:rPr>
              <w:t xml:space="preserve">orward </w:t>
            </w:r>
            <w:r>
              <w:rPr>
                <w:rFonts w:ascii="Arial" w:hAnsi="Arial" w:cs="Arial"/>
                <w:sz w:val="22"/>
                <w:lang w:eastAsia="en-AU"/>
              </w:rPr>
              <w:t>arrows to view the available report types.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4BC931" wp14:editId="7B724B3E">
                  <wp:extent cx="257175" cy="221456"/>
                  <wp:effectExtent l="19050" t="19050" r="9525" b="26670"/>
                  <wp:docPr id="6" name="Picture 6" descr="This is a screen shot of the Magnifying glass used to conduct a search." title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14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</w:t>
            </w:r>
            <w:r w:rsidRPr="00983666">
              <w:rPr>
                <w:rFonts w:ascii="Arial" w:hAnsi="Arial" w:cs="Arial"/>
                <w:b/>
                <w:sz w:val="22"/>
                <w:lang w:eastAsia="en-AU"/>
              </w:rPr>
              <w:t>agnifying glass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to conduct a search.</w:t>
            </w:r>
          </w:p>
        </w:tc>
      </w:tr>
      <w:tr w:rsidR="004145F0" w:rsidRPr="004C17DD" w:rsidTr="00B379BC">
        <w:trPr>
          <w:trHeight w:val="408"/>
        </w:trPr>
        <w:tc>
          <w:tcPr>
            <w:tcW w:w="24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145F0" w:rsidRDefault="004145F0" w:rsidP="00B379B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BD7FAF" wp14:editId="02D847A7">
                  <wp:extent cx="323850" cy="249115"/>
                  <wp:effectExtent l="19050" t="19050" r="19050" b="17780"/>
                  <wp:docPr id="8" name="Picture 8" descr="This is a screen shot of the menu icon." title="Menu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49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4145F0" w:rsidRDefault="004145F0" w:rsidP="00B379BC">
            <w:pPr>
              <w:rPr>
                <w:rFonts w:ascii="Arial" w:hAnsi="Arial" w:cs="Arial"/>
                <w:sz w:val="22"/>
                <w:lang w:eastAsia="en-AU"/>
              </w:rPr>
            </w:pPr>
            <w:r>
              <w:rPr>
                <w:rFonts w:ascii="Arial" w:hAnsi="Arial" w:cs="Arial"/>
                <w:sz w:val="22"/>
                <w:lang w:eastAsia="en-AU"/>
              </w:rPr>
              <w:t xml:space="preserve">Select the 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M</w:t>
            </w:r>
            <w:r w:rsidRPr="00983666">
              <w:rPr>
                <w:rFonts w:ascii="Arial" w:hAnsi="Arial" w:cs="Arial"/>
                <w:b/>
                <w:sz w:val="22"/>
                <w:lang w:eastAsia="en-AU"/>
              </w:rPr>
              <w:t>enu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icon to access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Dev</w:t>
            </w:r>
            <w:r>
              <w:rPr>
                <w:rFonts w:ascii="Arial" w:hAnsi="Arial" w:cs="Arial"/>
                <w:b/>
                <w:sz w:val="22"/>
                <w:lang w:eastAsia="en-AU"/>
              </w:rPr>
              <w:t>elopment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 xml:space="preserve"> Hub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,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Help</w:t>
            </w:r>
            <w:r>
              <w:rPr>
                <w:rFonts w:ascii="Arial" w:hAnsi="Arial" w:cs="Arial"/>
                <w:sz w:val="22"/>
                <w:lang w:eastAsia="en-AU"/>
              </w:rPr>
              <w:t xml:space="preserve"> and </w:t>
            </w:r>
            <w:r w:rsidRPr="00485324">
              <w:rPr>
                <w:rFonts w:ascii="Arial" w:hAnsi="Arial" w:cs="Arial"/>
                <w:b/>
                <w:sz w:val="22"/>
                <w:lang w:eastAsia="en-AU"/>
              </w:rPr>
              <w:t>About</w:t>
            </w:r>
            <w:r>
              <w:rPr>
                <w:rFonts w:ascii="Arial" w:hAnsi="Arial" w:cs="Arial"/>
                <w:sz w:val="22"/>
                <w:lang w:eastAsia="en-AU"/>
              </w:rPr>
              <w:t>.</w:t>
            </w:r>
          </w:p>
        </w:tc>
      </w:tr>
    </w:tbl>
    <w:p w:rsidR="004145F0" w:rsidRDefault="004145F0" w:rsidP="00C93B6B"/>
    <w:p w:rsidR="005663D8" w:rsidRPr="00533EA7" w:rsidRDefault="005663D8" w:rsidP="005663D8">
      <w:pPr>
        <w:pStyle w:val="Heading2Numbered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Supported browsers</w:t>
      </w:r>
    </w:p>
    <w:p w:rsidR="00DA0D71" w:rsidRPr="007F4506" w:rsidRDefault="00DA0D71" w:rsidP="007F4506">
      <w:pPr>
        <w:rPr>
          <w:rFonts w:ascii="Arial" w:hAnsi="Arial" w:cs="Arial"/>
          <w:b/>
          <w:sz w:val="22"/>
        </w:rPr>
      </w:pPr>
      <w:r w:rsidRPr="007F4506">
        <w:rPr>
          <w:rFonts w:ascii="Arial" w:hAnsi="Arial" w:cs="Arial"/>
          <w:sz w:val="22"/>
        </w:rPr>
        <w:t xml:space="preserve">In order to </w:t>
      </w:r>
      <w:r w:rsidR="005663D8" w:rsidRPr="007F4506">
        <w:rPr>
          <w:rFonts w:ascii="Arial" w:hAnsi="Arial" w:cs="Arial"/>
          <w:sz w:val="22"/>
        </w:rPr>
        <w:t>access the Data Exchange reports</w:t>
      </w:r>
      <w:r w:rsidRPr="007F4506">
        <w:rPr>
          <w:rFonts w:ascii="Arial" w:hAnsi="Arial" w:cs="Arial"/>
          <w:sz w:val="22"/>
        </w:rPr>
        <w:t xml:space="preserve"> your computer needs to meet certain requirements.</w:t>
      </w:r>
      <w:r w:rsidR="005663D8" w:rsidRPr="007F4506">
        <w:rPr>
          <w:rFonts w:ascii="Arial" w:hAnsi="Arial" w:cs="Arial"/>
          <w:sz w:val="22"/>
        </w:rPr>
        <w:t xml:space="preserve"> Select th</w:t>
      </w:r>
      <w:r w:rsidR="00B368D4" w:rsidRPr="007F4506">
        <w:rPr>
          <w:rFonts w:ascii="Arial" w:hAnsi="Arial" w:cs="Arial"/>
          <w:sz w:val="22"/>
        </w:rPr>
        <w:t>is</w:t>
      </w:r>
      <w:r w:rsidR="005663D8" w:rsidRPr="007F4506">
        <w:rPr>
          <w:rFonts w:ascii="Arial" w:hAnsi="Arial" w:cs="Arial"/>
          <w:sz w:val="22"/>
        </w:rPr>
        <w:t xml:space="preserve"> link to view the list of </w:t>
      </w:r>
      <w:hyperlink r:id="rId25" w:history="1">
        <w:r w:rsidR="005663D8" w:rsidRPr="007F4506">
          <w:rPr>
            <w:rStyle w:val="Hyperlink"/>
            <w:rFonts w:ascii="Arial" w:hAnsi="Arial" w:cs="Arial"/>
            <w:sz w:val="22"/>
          </w:rPr>
          <w:t>supported browsers</w:t>
        </w:r>
      </w:hyperlink>
      <w:r w:rsidR="005663D8" w:rsidRPr="007F4506">
        <w:rPr>
          <w:rFonts w:ascii="Arial" w:hAnsi="Arial" w:cs="Arial"/>
          <w:sz w:val="22"/>
        </w:rPr>
        <w:t>.</w:t>
      </w:r>
    </w:p>
    <w:p w:rsidR="00DA0D71" w:rsidRPr="00DA0D71" w:rsidRDefault="001C271B" w:rsidP="00DA0D71">
      <w:r w:rsidRPr="007F4506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EFC9D" wp14:editId="1FADCE75">
                <wp:simplePos x="0" y="0"/>
                <wp:positionH relativeFrom="margin">
                  <wp:align>left</wp:align>
                </wp:positionH>
                <wp:positionV relativeFrom="paragraph">
                  <wp:posOffset>45493</wp:posOffset>
                </wp:positionV>
                <wp:extent cx="6638925" cy="122428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24280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05" w:rsidRPr="00F83605" w:rsidRDefault="00F83605" w:rsidP="00F83605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 w:rsidRPr="00F83605"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can be found in the </w:t>
                            </w:r>
                            <w:hyperlink r:id="rId26" w:history="1">
                              <w:r w:rsidRPr="007F630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Protocols.</w:t>
                              </w:r>
                            </w:hyperlink>
                            <w:r w:rsidRPr="007F6301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7F630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Further information on reports functionality can be found in the </w:t>
                            </w:r>
                            <w:hyperlink r:id="rId27" w:history="1">
                              <w:r w:rsidRPr="007F630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Reports</w:t>
                              </w:r>
                            </w:hyperlink>
                            <w:r w:rsidRPr="007F6301">
                              <w:rPr>
                                <w:rStyle w:val="Hyperlink"/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7F630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>learning module.</w:t>
                            </w:r>
                            <w:r w:rsidRPr="007F630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F83605" w:rsidRPr="00F83605" w:rsidRDefault="00F83605" w:rsidP="00F83605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83605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technical support; contact the Data Exchange Helpdesk by email </w:t>
                            </w:r>
                            <w:hyperlink r:id="rId28" w:history="1">
                              <w:r w:rsidRPr="00F8360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F83605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F83605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 xml:space="preserve">between 08.30am - 5.30pm (AEST/AEDT) Monday to Friday. </w:t>
                            </w:r>
                          </w:p>
                          <w:p w:rsidR="00DF1DD9" w:rsidRPr="00D87703" w:rsidRDefault="00DF1DD9" w:rsidP="00DF1DD9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FC9D" id="_x0000_s1027" type="#_x0000_t202" style="position:absolute;margin-left:0;margin-top:3.6pt;width:522.75pt;height:96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" fillcolor="#b8dde1" stroked="f">
                <v:textbox>
                  <w:txbxContent>
                    <w:p w:rsidR="00F83605" w:rsidRPr="00F83605" w:rsidRDefault="00F83605" w:rsidP="00F83605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 w:rsidRPr="00F83605"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can be found in the </w:t>
                      </w:r>
                      <w:hyperlink r:id="rId29" w:history="1">
                        <w:r w:rsidRPr="007F630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Protocols.</w:t>
                        </w:r>
                      </w:hyperlink>
                      <w:r w:rsidRPr="007F6301">
                        <w:rPr>
                          <w:rStyle w:val="Hyperlink"/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7F6301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Further information on reports functionality can be found in the </w:t>
                      </w:r>
                      <w:hyperlink r:id="rId30" w:history="1">
                        <w:r w:rsidRPr="007F630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Rep</w:t>
                        </w:r>
                        <w:r w:rsidRPr="007F630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o</w:t>
                        </w:r>
                        <w:r w:rsidRPr="007F630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rts</w:t>
                        </w:r>
                      </w:hyperlink>
                      <w:r w:rsidRPr="007F6301">
                        <w:rPr>
                          <w:rStyle w:val="Hyperlink"/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7F6301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>learning module.</w:t>
                      </w:r>
                      <w:r w:rsidRPr="007F630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F83605" w:rsidRPr="00F83605" w:rsidRDefault="00F83605" w:rsidP="00F83605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F83605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31" w:history="1">
                        <w:r w:rsidRPr="00F83605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F83605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F83605">
                        <w:rPr>
                          <w:rFonts w:ascii="Arial" w:hAnsi="Arial" w:cs="Arial"/>
                          <w:sz w:val="22"/>
                          <w:lang w:val="en"/>
                        </w:rPr>
                        <w:t xml:space="preserve">between 08.30am - 5.30pm (AEST/AEDT) Monday to Friday. </w:t>
                      </w:r>
                    </w:p>
                    <w:p w:rsidR="00DF1DD9" w:rsidRPr="00D87703" w:rsidRDefault="00DF1DD9" w:rsidP="00DF1DD9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D71" w:rsidRPr="00DA0D71" w:rsidRDefault="00DA0D71" w:rsidP="00DA0D71"/>
    <w:p w:rsidR="00DA0D71" w:rsidRPr="00DA0D71" w:rsidRDefault="00DA0D71" w:rsidP="00DA0D71"/>
    <w:p w:rsidR="00DA0D71" w:rsidRPr="00DA0D71" w:rsidRDefault="00DA0D71" w:rsidP="00DA0D71"/>
    <w:p w:rsidR="00C24370" w:rsidRPr="00C24370" w:rsidRDefault="00C24370" w:rsidP="00C24370"/>
    <w:p w:rsidR="000354D0" w:rsidRPr="00C24370" w:rsidRDefault="00C24370" w:rsidP="00C24370">
      <w:pPr>
        <w:tabs>
          <w:tab w:val="left" w:pos="3226"/>
        </w:tabs>
      </w:pPr>
      <w:r>
        <w:tab/>
      </w:r>
    </w:p>
    <w:sectPr w:rsidR="000354D0" w:rsidRPr="00C24370" w:rsidSect="00DF1DD9"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65" w:rsidRDefault="00E56265" w:rsidP="00C46F4D">
      <w:pPr>
        <w:spacing w:after="0" w:line="240" w:lineRule="auto"/>
      </w:pPr>
      <w:r>
        <w:separator/>
      </w:r>
    </w:p>
  </w:endnote>
  <w:endnote w:type="continuationSeparator" w:id="0">
    <w:p w:rsidR="00E56265" w:rsidRDefault="00E56265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5"/>
      <w:gridCol w:w="1051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9832CA" w:rsidP="00A1436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Introduction and access – </w:t>
          </w:r>
          <w:r w:rsidR="0020566E">
            <w:rPr>
              <w:rFonts w:ascii="Arial" w:hAnsi="Arial" w:cs="Arial"/>
              <w:sz w:val="18"/>
              <w:szCs w:val="18"/>
            </w:rPr>
            <w:t>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2A15E1" w:rsidRDefault="00C46F4D" w:rsidP="00C22AB9">
          <w:pPr>
            <w:pStyle w:val="Header"/>
            <w:ind w:left="720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AF12F6" w:rsidRPr="00AF12F6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0327EA" w:rsidP="00ED7F1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Introduction and access</w:t>
          </w:r>
          <w:r w:rsidR="0020566E">
            <w:rPr>
              <w:rFonts w:ascii="Arial" w:hAnsi="Arial" w:cs="Arial"/>
              <w:sz w:val="18"/>
              <w:szCs w:val="18"/>
            </w:rPr>
            <w:t xml:space="preserve"> – 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2A15E1" w:rsidRDefault="002A15E1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AF12F6" w:rsidRPr="00AF12F6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65" w:rsidRDefault="00E56265" w:rsidP="00C46F4D">
      <w:pPr>
        <w:spacing w:after="0" w:line="240" w:lineRule="auto"/>
      </w:pPr>
      <w:r>
        <w:separator/>
      </w:r>
    </w:p>
  </w:footnote>
  <w:footnote w:type="continuationSeparator" w:id="0">
    <w:p w:rsidR="00E56265" w:rsidRDefault="00E56265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E6" w:rsidRDefault="00DF1D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-899361</wp:posOffset>
          </wp:positionV>
          <wp:extent cx="7547610" cy="920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FCF"/>
    <w:multiLevelType w:val="hybridMultilevel"/>
    <w:tmpl w:val="FE68784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A0C15"/>
    <w:multiLevelType w:val="hybridMultilevel"/>
    <w:tmpl w:val="7CE6F5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3A1E"/>
    <w:multiLevelType w:val="hybridMultilevel"/>
    <w:tmpl w:val="C704A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B60"/>
    <w:multiLevelType w:val="hybridMultilevel"/>
    <w:tmpl w:val="FA0AD8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8211A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9141E"/>
    <w:multiLevelType w:val="hybridMultilevel"/>
    <w:tmpl w:val="62D4F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4C8"/>
    <w:multiLevelType w:val="hybridMultilevel"/>
    <w:tmpl w:val="E8FCC6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B7C51"/>
    <w:multiLevelType w:val="hybridMultilevel"/>
    <w:tmpl w:val="EFE6FD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0744F"/>
    <w:multiLevelType w:val="hybridMultilevel"/>
    <w:tmpl w:val="83E6B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F3D18"/>
    <w:multiLevelType w:val="hybridMultilevel"/>
    <w:tmpl w:val="A3D2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57E1D"/>
    <w:multiLevelType w:val="hybridMultilevel"/>
    <w:tmpl w:val="03005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875E9"/>
    <w:multiLevelType w:val="hybridMultilevel"/>
    <w:tmpl w:val="5CA80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450D3A"/>
    <w:multiLevelType w:val="hybridMultilevel"/>
    <w:tmpl w:val="265276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76875"/>
    <w:multiLevelType w:val="hybridMultilevel"/>
    <w:tmpl w:val="3F701A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91047"/>
    <w:multiLevelType w:val="hybridMultilevel"/>
    <w:tmpl w:val="5260B52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94BE6"/>
    <w:multiLevelType w:val="hybridMultilevel"/>
    <w:tmpl w:val="FBDE16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D11AC"/>
    <w:multiLevelType w:val="hybridMultilevel"/>
    <w:tmpl w:val="EA30D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C2924"/>
    <w:multiLevelType w:val="hybridMultilevel"/>
    <w:tmpl w:val="23921C4E"/>
    <w:lvl w:ilvl="0" w:tplc="35345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C4FA7"/>
    <w:multiLevelType w:val="hybridMultilevel"/>
    <w:tmpl w:val="4132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84BA5"/>
    <w:multiLevelType w:val="hybridMultilevel"/>
    <w:tmpl w:val="61F0A5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B5DA0"/>
    <w:multiLevelType w:val="hybridMultilevel"/>
    <w:tmpl w:val="1E341D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550A8"/>
    <w:multiLevelType w:val="hybridMultilevel"/>
    <w:tmpl w:val="29E82F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812D2"/>
    <w:multiLevelType w:val="hybridMultilevel"/>
    <w:tmpl w:val="58648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346F"/>
    <w:multiLevelType w:val="hybridMultilevel"/>
    <w:tmpl w:val="5422EDD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11E296D"/>
    <w:multiLevelType w:val="hybridMultilevel"/>
    <w:tmpl w:val="F29031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8481C"/>
    <w:multiLevelType w:val="multilevel"/>
    <w:tmpl w:val="247C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EE4238"/>
    <w:multiLevelType w:val="hybridMultilevel"/>
    <w:tmpl w:val="5E50B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53CF5"/>
    <w:multiLevelType w:val="hybridMultilevel"/>
    <w:tmpl w:val="BB94B230"/>
    <w:lvl w:ilvl="0" w:tplc="7C10F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A3D22"/>
    <w:multiLevelType w:val="hybridMultilevel"/>
    <w:tmpl w:val="00F6547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07B6D"/>
    <w:multiLevelType w:val="hybridMultilevel"/>
    <w:tmpl w:val="BE2C3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327363"/>
    <w:multiLevelType w:val="hybridMultilevel"/>
    <w:tmpl w:val="1E68E8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B30C3"/>
    <w:multiLevelType w:val="hybridMultilevel"/>
    <w:tmpl w:val="AE6864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01A18"/>
    <w:multiLevelType w:val="hybridMultilevel"/>
    <w:tmpl w:val="89C0023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A72224"/>
    <w:multiLevelType w:val="hybridMultilevel"/>
    <w:tmpl w:val="99F038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71FF9"/>
    <w:multiLevelType w:val="hybridMultilevel"/>
    <w:tmpl w:val="BC720706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EF2E38"/>
    <w:multiLevelType w:val="hybridMultilevel"/>
    <w:tmpl w:val="3800B8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67DC7"/>
    <w:multiLevelType w:val="hybridMultilevel"/>
    <w:tmpl w:val="1C1CC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77F08"/>
    <w:multiLevelType w:val="hybridMultilevel"/>
    <w:tmpl w:val="4190B1F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0650A6"/>
    <w:multiLevelType w:val="hybridMultilevel"/>
    <w:tmpl w:val="4C908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10"/>
  </w:num>
  <w:num w:numId="5">
    <w:abstractNumId w:val="38"/>
  </w:num>
  <w:num w:numId="6">
    <w:abstractNumId w:val="22"/>
  </w:num>
  <w:num w:numId="7">
    <w:abstractNumId w:val="27"/>
  </w:num>
  <w:num w:numId="8">
    <w:abstractNumId w:val="21"/>
  </w:num>
  <w:num w:numId="9">
    <w:abstractNumId w:val="5"/>
  </w:num>
  <w:num w:numId="10">
    <w:abstractNumId w:val="33"/>
  </w:num>
  <w:num w:numId="11">
    <w:abstractNumId w:val="13"/>
  </w:num>
  <w:num w:numId="12">
    <w:abstractNumId w:val="40"/>
  </w:num>
  <w:num w:numId="13">
    <w:abstractNumId w:val="26"/>
  </w:num>
  <w:num w:numId="14">
    <w:abstractNumId w:val="9"/>
  </w:num>
  <w:num w:numId="15">
    <w:abstractNumId w:val="12"/>
  </w:num>
  <w:num w:numId="16">
    <w:abstractNumId w:val="2"/>
  </w:num>
  <w:num w:numId="17">
    <w:abstractNumId w:val="4"/>
  </w:num>
  <w:num w:numId="18">
    <w:abstractNumId w:val="20"/>
  </w:num>
  <w:num w:numId="19">
    <w:abstractNumId w:val="36"/>
  </w:num>
  <w:num w:numId="20">
    <w:abstractNumId w:val="30"/>
  </w:num>
  <w:num w:numId="21">
    <w:abstractNumId w:val="25"/>
  </w:num>
  <w:num w:numId="22">
    <w:abstractNumId w:val="6"/>
  </w:num>
  <w:num w:numId="23">
    <w:abstractNumId w:val="1"/>
  </w:num>
  <w:num w:numId="24">
    <w:abstractNumId w:val="37"/>
  </w:num>
  <w:num w:numId="25">
    <w:abstractNumId w:val="19"/>
  </w:num>
  <w:num w:numId="26">
    <w:abstractNumId w:val="32"/>
  </w:num>
  <w:num w:numId="27">
    <w:abstractNumId w:val="16"/>
  </w:num>
  <w:num w:numId="28">
    <w:abstractNumId w:val="24"/>
  </w:num>
  <w:num w:numId="29">
    <w:abstractNumId w:val="41"/>
  </w:num>
  <w:num w:numId="30">
    <w:abstractNumId w:val="23"/>
  </w:num>
  <w:num w:numId="31">
    <w:abstractNumId w:val="3"/>
  </w:num>
  <w:num w:numId="32">
    <w:abstractNumId w:val="35"/>
  </w:num>
  <w:num w:numId="33">
    <w:abstractNumId w:val="28"/>
  </w:num>
  <w:num w:numId="34">
    <w:abstractNumId w:val="11"/>
  </w:num>
  <w:num w:numId="35">
    <w:abstractNumId w:val="42"/>
  </w:num>
  <w:num w:numId="36">
    <w:abstractNumId w:val="14"/>
  </w:num>
  <w:num w:numId="37">
    <w:abstractNumId w:val="31"/>
  </w:num>
  <w:num w:numId="38">
    <w:abstractNumId w:val="8"/>
  </w:num>
  <w:num w:numId="39">
    <w:abstractNumId w:val="15"/>
  </w:num>
  <w:num w:numId="40">
    <w:abstractNumId w:val="39"/>
  </w:num>
  <w:num w:numId="41">
    <w:abstractNumId w:val="29"/>
  </w:num>
  <w:num w:numId="42">
    <w:abstractNumId w:val="14"/>
  </w:num>
  <w:num w:numId="43">
    <w:abstractNumId w:val="14"/>
  </w:num>
  <w:num w:numId="44">
    <w:abstractNumId w:val="43"/>
  </w:num>
  <w:num w:numId="45">
    <w:abstractNumId w:val="18"/>
  </w:num>
  <w:num w:numId="46">
    <w:abstractNumId w:val="1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3127"/>
    <w:rsid w:val="00005331"/>
    <w:rsid w:val="000327EA"/>
    <w:rsid w:val="000354D0"/>
    <w:rsid w:val="0004734F"/>
    <w:rsid w:val="0005428C"/>
    <w:rsid w:val="000550DD"/>
    <w:rsid w:val="00063C55"/>
    <w:rsid w:val="00063F95"/>
    <w:rsid w:val="000662C5"/>
    <w:rsid w:val="00085A70"/>
    <w:rsid w:val="000A1DCF"/>
    <w:rsid w:val="000F000F"/>
    <w:rsid w:val="00136B1A"/>
    <w:rsid w:val="0013709C"/>
    <w:rsid w:val="00143241"/>
    <w:rsid w:val="0014454D"/>
    <w:rsid w:val="00167FA7"/>
    <w:rsid w:val="001930ED"/>
    <w:rsid w:val="001938F4"/>
    <w:rsid w:val="00197542"/>
    <w:rsid w:val="001A09FC"/>
    <w:rsid w:val="001A44DF"/>
    <w:rsid w:val="001C271B"/>
    <w:rsid w:val="001D4D62"/>
    <w:rsid w:val="001E630D"/>
    <w:rsid w:val="001F0F69"/>
    <w:rsid w:val="001F7415"/>
    <w:rsid w:val="0020566E"/>
    <w:rsid w:val="002176FA"/>
    <w:rsid w:val="0026232A"/>
    <w:rsid w:val="002819DE"/>
    <w:rsid w:val="002A15E1"/>
    <w:rsid w:val="002B3696"/>
    <w:rsid w:val="002C57E9"/>
    <w:rsid w:val="002D4158"/>
    <w:rsid w:val="002E3AB9"/>
    <w:rsid w:val="002F5936"/>
    <w:rsid w:val="00304DFA"/>
    <w:rsid w:val="00323C2A"/>
    <w:rsid w:val="0032434D"/>
    <w:rsid w:val="00354460"/>
    <w:rsid w:val="00374DB4"/>
    <w:rsid w:val="00375845"/>
    <w:rsid w:val="0039303E"/>
    <w:rsid w:val="003A12B7"/>
    <w:rsid w:val="003B2BB8"/>
    <w:rsid w:val="003C02BE"/>
    <w:rsid w:val="003D34FF"/>
    <w:rsid w:val="003D6860"/>
    <w:rsid w:val="003F12CD"/>
    <w:rsid w:val="003F2770"/>
    <w:rsid w:val="004145F0"/>
    <w:rsid w:val="004350A9"/>
    <w:rsid w:val="00456644"/>
    <w:rsid w:val="004641D6"/>
    <w:rsid w:val="00464B10"/>
    <w:rsid w:val="00470902"/>
    <w:rsid w:val="00485324"/>
    <w:rsid w:val="00485CEB"/>
    <w:rsid w:val="004B54CA"/>
    <w:rsid w:val="004C17DD"/>
    <w:rsid w:val="004C6CEB"/>
    <w:rsid w:val="004D06CD"/>
    <w:rsid w:val="004E07CF"/>
    <w:rsid w:val="004E5CBF"/>
    <w:rsid w:val="004F7808"/>
    <w:rsid w:val="00513840"/>
    <w:rsid w:val="00520521"/>
    <w:rsid w:val="00527C2E"/>
    <w:rsid w:val="00533EA7"/>
    <w:rsid w:val="00541C7B"/>
    <w:rsid w:val="005618D5"/>
    <w:rsid w:val="005663D8"/>
    <w:rsid w:val="00572C03"/>
    <w:rsid w:val="005A101F"/>
    <w:rsid w:val="005A6756"/>
    <w:rsid w:val="005B4F88"/>
    <w:rsid w:val="005C3AA9"/>
    <w:rsid w:val="005D732C"/>
    <w:rsid w:val="00615824"/>
    <w:rsid w:val="0061698D"/>
    <w:rsid w:val="00633593"/>
    <w:rsid w:val="00651336"/>
    <w:rsid w:val="0067558F"/>
    <w:rsid w:val="00677C11"/>
    <w:rsid w:val="006846F7"/>
    <w:rsid w:val="00685186"/>
    <w:rsid w:val="006A4CE7"/>
    <w:rsid w:val="006B6F31"/>
    <w:rsid w:val="006C206A"/>
    <w:rsid w:val="006C5954"/>
    <w:rsid w:val="006D0B3F"/>
    <w:rsid w:val="006D79F4"/>
    <w:rsid w:val="006E0B3E"/>
    <w:rsid w:val="006E5728"/>
    <w:rsid w:val="00717DB4"/>
    <w:rsid w:val="0073500A"/>
    <w:rsid w:val="0075259D"/>
    <w:rsid w:val="00754998"/>
    <w:rsid w:val="007765D5"/>
    <w:rsid w:val="00776A1B"/>
    <w:rsid w:val="00777CE1"/>
    <w:rsid w:val="00784343"/>
    <w:rsid w:val="00785261"/>
    <w:rsid w:val="0079207E"/>
    <w:rsid w:val="00797075"/>
    <w:rsid w:val="007B0256"/>
    <w:rsid w:val="007C16B0"/>
    <w:rsid w:val="007D0A21"/>
    <w:rsid w:val="007D43A0"/>
    <w:rsid w:val="007F4506"/>
    <w:rsid w:val="007F6301"/>
    <w:rsid w:val="0080716C"/>
    <w:rsid w:val="00862594"/>
    <w:rsid w:val="0086577B"/>
    <w:rsid w:val="00865F6F"/>
    <w:rsid w:val="00867249"/>
    <w:rsid w:val="00877DDB"/>
    <w:rsid w:val="0088578A"/>
    <w:rsid w:val="00885E75"/>
    <w:rsid w:val="008867DC"/>
    <w:rsid w:val="008901D4"/>
    <w:rsid w:val="00896CAC"/>
    <w:rsid w:val="008B4A3D"/>
    <w:rsid w:val="008B68CD"/>
    <w:rsid w:val="008C16E1"/>
    <w:rsid w:val="008D3EE6"/>
    <w:rsid w:val="008D4E2D"/>
    <w:rsid w:val="008F7BD2"/>
    <w:rsid w:val="009069D5"/>
    <w:rsid w:val="009225F0"/>
    <w:rsid w:val="00927FE5"/>
    <w:rsid w:val="009405D2"/>
    <w:rsid w:val="00956DD2"/>
    <w:rsid w:val="00965D7A"/>
    <w:rsid w:val="00972394"/>
    <w:rsid w:val="00981CF2"/>
    <w:rsid w:val="009832CA"/>
    <w:rsid w:val="00983666"/>
    <w:rsid w:val="00986971"/>
    <w:rsid w:val="009A0139"/>
    <w:rsid w:val="009A44D1"/>
    <w:rsid w:val="009A6CF5"/>
    <w:rsid w:val="009B5017"/>
    <w:rsid w:val="009C0C8F"/>
    <w:rsid w:val="009D0BE4"/>
    <w:rsid w:val="009D5388"/>
    <w:rsid w:val="00A00049"/>
    <w:rsid w:val="00A1184E"/>
    <w:rsid w:val="00A14362"/>
    <w:rsid w:val="00A31319"/>
    <w:rsid w:val="00A34529"/>
    <w:rsid w:val="00A53400"/>
    <w:rsid w:val="00A62FAE"/>
    <w:rsid w:val="00A67ED1"/>
    <w:rsid w:val="00A960AE"/>
    <w:rsid w:val="00AB2248"/>
    <w:rsid w:val="00AC680D"/>
    <w:rsid w:val="00AC786B"/>
    <w:rsid w:val="00AD19C7"/>
    <w:rsid w:val="00AD2855"/>
    <w:rsid w:val="00AE03DC"/>
    <w:rsid w:val="00AF12F6"/>
    <w:rsid w:val="00AF3F8F"/>
    <w:rsid w:val="00B065FD"/>
    <w:rsid w:val="00B10994"/>
    <w:rsid w:val="00B14564"/>
    <w:rsid w:val="00B26ECC"/>
    <w:rsid w:val="00B317F6"/>
    <w:rsid w:val="00B368D4"/>
    <w:rsid w:val="00B42138"/>
    <w:rsid w:val="00B44CD4"/>
    <w:rsid w:val="00B46262"/>
    <w:rsid w:val="00B517B6"/>
    <w:rsid w:val="00B60E0D"/>
    <w:rsid w:val="00B73262"/>
    <w:rsid w:val="00BA2384"/>
    <w:rsid w:val="00BA2DB9"/>
    <w:rsid w:val="00BA505C"/>
    <w:rsid w:val="00BA5859"/>
    <w:rsid w:val="00BC2BFA"/>
    <w:rsid w:val="00BC2F0D"/>
    <w:rsid w:val="00BD7A38"/>
    <w:rsid w:val="00BE024F"/>
    <w:rsid w:val="00BE7148"/>
    <w:rsid w:val="00BE7613"/>
    <w:rsid w:val="00C14021"/>
    <w:rsid w:val="00C175F6"/>
    <w:rsid w:val="00C22AB9"/>
    <w:rsid w:val="00C24370"/>
    <w:rsid w:val="00C37477"/>
    <w:rsid w:val="00C40046"/>
    <w:rsid w:val="00C46F4D"/>
    <w:rsid w:val="00C5162C"/>
    <w:rsid w:val="00C55A16"/>
    <w:rsid w:val="00C6501C"/>
    <w:rsid w:val="00C93B6B"/>
    <w:rsid w:val="00CA28C2"/>
    <w:rsid w:val="00CA4F9B"/>
    <w:rsid w:val="00CC7E10"/>
    <w:rsid w:val="00CD49E3"/>
    <w:rsid w:val="00CD7D2A"/>
    <w:rsid w:val="00CE03DA"/>
    <w:rsid w:val="00CE388F"/>
    <w:rsid w:val="00CE447E"/>
    <w:rsid w:val="00CF7CCC"/>
    <w:rsid w:val="00D3685A"/>
    <w:rsid w:val="00D73760"/>
    <w:rsid w:val="00D75AF0"/>
    <w:rsid w:val="00D87703"/>
    <w:rsid w:val="00DA0D71"/>
    <w:rsid w:val="00DB2DCA"/>
    <w:rsid w:val="00DB7113"/>
    <w:rsid w:val="00DE1175"/>
    <w:rsid w:val="00DF1DD9"/>
    <w:rsid w:val="00E03A9D"/>
    <w:rsid w:val="00E10961"/>
    <w:rsid w:val="00E222C4"/>
    <w:rsid w:val="00E478EC"/>
    <w:rsid w:val="00E56265"/>
    <w:rsid w:val="00E56493"/>
    <w:rsid w:val="00E71328"/>
    <w:rsid w:val="00E9254E"/>
    <w:rsid w:val="00E97954"/>
    <w:rsid w:val="00ED17CB"/>
    <w:rsid w:val="00ED7F1F"/>
    <w:rsid w:val="00EE7D00"/>
    <w:rsid w:val="00F02A8A"/>
    <w:rsid w:val="00F06604"/>
    <w:rsid w:val="00F44DBF"/>
    <w:rsid w:val="00F46278"/>
    <w:rsid w:val="00F61442"/>
    <w:rsid w:val="00F67F8F"/>
    <w:rsid w:val="00F755BC"/>
    <w:rsid w:val="00F83605"/>
    <w:rsid w:val="00F87D76"/>
    <w:rsid w:val="00F93A15"/>
    <w:rsid w:val="00F97887"/>
    <w:rsid w:val="00FA6746"/>
    <w:rsid w:val="00FB0756"/>
    <w:rsid w:val="00FC565E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35FCD-FC09-41AA-BD40-268DB5A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36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36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36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dex.dss.gov.au/document/81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help.qlik.com/en-US/sense/September2017/Subsystems/PlanningQlikSenseDeployments/Content/Introduction/supported-browsers.ht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dex.dss.gov.au/document/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dssdataexchange.helpdesk@dss.gov.a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mailto:dssdataexchange.helpdesk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qlik.com/en-US/sense/2.2/Content/Tutorials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dex.dss.gov.au/document/746" TargetMode="External"/><Relationship Id="rId30" Type="http://schemas.openxmlformats.org/officeDocument/2006/relationships/hyperlink" Target="https://dex.dss.gov.au/document/746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7EEC-BB8D-4628-925C-778B656A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330</Words>
  <Characters>1576</Characters>
  <Application>Microsoft Office Word</Application>
  <DocSecurity>0</DocSecurity>
  <Lines>78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MOSEY, Sebastian</cp:lastModifiedBy>
  <cp:revision>8</cp:revision>
  <cp:lastPrinted>2020-03-25T02:57:00Z</cp:lastPrinted>
  <dcterms:created xsi:type="dcterms:W3CDTF">2022-09-20T00:00:00Z</dcterms:created>
  <dcterms:modified xsi:type="dcterms:W3CDTF">2022-09-26T06:10:00Z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AE1989ECD7E6418B94EAAF681E599A96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2022-09-26T06:10:30Z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D683E04E7CB3F0C1510EFBE265C87900</vt:lpwstr>
  </property>
  <property fmtid="{D5CDD505-2E9C-101B-9397-08002B2CF9AE}" pid="21" name="PM_Hash_Salt">
    <vt:lpwstr>072CA2EFA2EF028DF0F801BAF7F6CA7F</vt:lpwstr>
  </property>
  <property fmtid="{D5CDD505-2E9C-101B-9397-08002B2CF9AE}" pid="22" name="PM_Hash_SHA1">
    <vt:lpwstr>88569EBABD2323DA2C99FE35DF9341C31D6FEEEB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