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11B6" w14:textId="08F8F874" w:rsidR="001B1410" w:rsidRPr="00B612A1" w:rsidRDefault="001B1410" w:rsidP="00B612A1">
      <w:pPr>
        <w:pStyle w:val="DEXHeading1"/>
        <w:spacing w:before="240" w:after="240"/>
        <w:ind w:right="-330"/>
        <w:rPr>
          <w:rStyle w:val="TitleChar"/>
          <w:rFonts w:ascii="Georgia" w:eastAsiaTheme="minorHAnsi" w:hAnsi="Georgia" w:cstheme="minorBidi"/>
          <w:spacing w:val="0"/>
          <w:sz w:val="40"/>
          <w:szCs w:val="40"/>
        </w:rPr>
      </w:pPr>
      <w:r w:rsidRPr="00B612A1">
        <w:rPr>
          <w:sz w:val="40"/>
          <w:szCs w:val="40"/>
        </w:rPr>
        <w:t>Information for organisations about consent</w:t>
      </w:r>
    </w:p>
    <w:p w14:paraId="478B301C" w14:textId="12249B68" w:rsidR="00A60115" w:rsidRPr="00EA109A" w:rsidRDefault="00A60115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>What is consent in the Data Exchange?</w:t>
      </w:r>
    </w:p>
    <w:p w14:paraId="4EB7484E" w14:textId="6E893DA0" w:rsidR="00E51EEE" w:rsidRPr="00EA109A" w:rsidRDefault="00E51EEE" w:rsidP="00AB253B">
      <w:pPr>
        <w:pStyle w:val="Heading2"/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There are two </w:t>
      </w:r>
      <w:r w:rsidR="006222BC">
        <w:rPr>
          <w:rFonts w:eastAsiaTheme="minorHAnsi" w:cstheme="minorBidi"/>
          <w:b w:val="0"/>
          <w:bCs w:val="0"/>
          <w:sz w:val="20"/>
          <w:szCs w:val="20"/>
        </w:rPr>
        <w:t>types of client consent</w:t>
      </w:r>
      <w:r w:rsidR="006222BC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  <w:r w:rsidR="006222BC">
        <w:rPr>
          <w:rFonts w:eastAsiaTheme="minorHAnsi" w:cstheme="minorBidi"/>
          <w:b w:val="0"/>
          <w:bCs w:val="0"/>
          <w:sz w:val="20"/>
          <w:szCs w:val="20"/>
        </w:rPr>
        <w:t xml:space="preserve">associated with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>the Data Exchange</w:t>
      </w:r>
      <w:r w:rsidR="00460868" w:rsidRPr="00EA109A">
        <w:rPr>
          <w:rFonts w:eastAsiaTheme="minorHAnsi" w:cstheme="minorBidi"/>
          <w:b w:val="0"/>
          <w:bCs w:val="0"/>
          <w:sz w:val="20"/>
          <w:szCs w:val="20"/>
        </w:rPr>
        <w:t>:</w:t>
      </w:r>
    </w:p>
    <w:p w14:paraId="1EB09B0B" w14:textId="5F772DFC" w:rsidR="00460868" w:rsidRPr="00EA109A" w:rsidRDefault="00460868" w:rsidP="00AB253B">
      <w:pPr>
        <w:pStyle w:val="Heading2"/>
        <w:numPr>
          <w:ilvl w:val="0"/>
          <w:numId w:val="5"/>
        </w:numPr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Consent to collect </w:t>
      </w:r>
      <w:r w:rsidR="00A85CF9" w:rsidRPr="00EA109A">
        <w:rPr>
          <w:rFonts w:eastAsiaTheme="minorHAnsi" w:cstheme="minorBidi"/>
          <w:b w:val="0"/>
          <w:bCs w:val="0"/>
          <w:sz w:val="20"/>
          <w:szCs w:val="20"/>
        </w:rPr>
        <w:t>personal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information and store</w:t>
      </w:r>
      <w:r w:rsidR="00A85CF9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it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on the Data Exchange.</w:t>
      </w:r>
    </w:p>
    <w:p w14:paraId="18BF0E26" w14:textId="704FA134" w:rsidR="00460868" w:rsidRPr="00EA109A" w:rsidRDefault="00460868" w:rsidP="00AB253B">
      <w:pPr>
        <w:pStyle w:val="Heading2"/>
        <w:numPr>
          <w:ilvl w:val="0"/>
          <w:numId w:val="5"/>
        </w:numPr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>Consent to participate in follow-up research.</w:t>
      </w:r>
      <w:r w:rsidR="00461989">
        <w:rPr>
          <w:rFonts w:eastAsiaTheme="minorHAnsi" w:cstheme="minorBidi"/>
          <w:b w:val="0"/>
          <w:bCs w:val="0"/>
          <w:sz w:val="20"/>
          <w:szCs w:val="20"/>
        </w:rPr>
        <w:t xml:space="preserve">   </w:t>
      </w:r>
    </w:p>
    <w:p w14:paraId="40FC4F30" w14:textId="7A2BF9D4" w:rsidR="00E51EEE" w:rsidRPr="00EA109A" w:rsidRDefault="00460868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What is consent to collect </w:t>
      </w:r>
      <w:r w:rsidR="00A85CF9" w:rsidRPr="00EA109A">
        <w:rPr>
          <w:rFonts w:eastAsia="Arial"/>
          <w:color w:val="215868" w:themeColor="accent5" w:themeShade="80"/>
          <w:sz w:val="22"/>
          <w:szCs w:val="22"/>
        </w:rPr>
        <w:t>personal</w:t>
      </w: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 information and store </w:t>
      </w:r>
      <w:r w:rsidR="00A85CF9" w:rsidRPr="00EA109A">
        <w:rPr>
          <w:rFonts w:eastAsia="Arial"/>
          <w:color w:val="215868" w:themeColor="accent5" w:themeShade="80"/>
          <w:sz w:val="22"/>
          <w:szCs w:val="22"/>
        </w:rPr>
        <w:t xml:space="preserve">it </w:t>
      </w:r>
      <w:r w:rsidRPr="00EA109A">
        <w:rPr>
          <w:rFonts w:eastAsia="Arial"/>
          <w:color w:val="215868" w:themeColor="accent5" w:themeShade="80"/>
          <w:sz w:val="22"/>
          <w:szCs w:val="22"/>
        </w:rPr>
        <w:t>on the Data Exchange?</w:t>
      </w:r>
    </w:p>
    <w:p w14:paraId="41C17677" w14:textId="26905F7A" w:rsidR="0066687D" w:rsidRPr="00EA109A" w:rsidRDefault="0066687D" w:rsidP="00AB253B">
      <w:pPr>
        <w:pStyle w:val="Heading2"/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The Data Exchange is a </w:t>
      </w:r>
      <w:r w:rsidR="00662193">
        <w:rPr>
          <w:rFonts w:eastAsiaTheme="minorHAnsi" w:cstheme="minorBidi"/>
          <w:b w:val="0"/>
          <w:bCs w:val="0"/>
          <w:sz w:val="20"/>
          <w:szCs w:val="20"/>
        </w:rPr>
        <w:t>reporting platform operated by the Department of Social Services (DSS). DSS</w:t>
      </w:r>
      <w:r w:rsidR="00662193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must comply </w:t>
      </w:r>
      <w:r w:rsidR="00DE0529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with </w:t>
      </w:r>
      <w:r w:rsidR="00662193">
        <w:rPr>
          <w:rFonts w:eastAsiaTheme="minorHAnsi" w:cstheme="minorBidi"/>
          <w:b w:val="0"/>
          <w:bCs w:val="0"/>
          <w:sz w:val="20"/>
          <w:szCs w:val="20"/>
        </w:rPr>
        <w:t xml:space="preserve">its obligations under the </w:t>
      </w:r>
      <w:r w:rsidR="00662193" w:rsidRPr="00EA109A">
        <w:rPr>
          <w:rFonts w:eastAsiaTheme="minorHAnsi" w:cstheme="minorBidi"/>
          <w:b w:val="0"/>
          <w:bCs w:val="0"/>
          <w:i/>
          <w:sz w:val="20"/>
          <w:szCs w:val="20"/>
        </w:rPr>
        <w:t>Privacy Act 1988</w:t>
      </w:r>
      <w:r w:rsidR="00662193">
        <w:rPr>
          <w:rFonts w:eastAsiaTheme="minorHAnsi" w:cstheme="minorBidi"/>
          <w:b w:val="0"/>
          <w:bCs w:val="0"/>
          <w:i/>
          <w:sz w:val="20"/>
          <w:szCs w:val="20"/>
        </w:rPr>
        <w:t xml:space="preserve"> </w:t>
      </w:r>
      <w:r w:rsidR="00DE0529" w:rsidRPr="00EA109A">
        <w:rPr>
          <w:rFonts w:eastAsiaTheme="minorHAnsi" w:cstheme="minorBidi"/>
          <w:b w:val="0"/>
          <w:bCs w:val="0"/>
          <w:sz w:val="20"/>
          <w:szCs w:val="20"/>
        </w:rPr>
        <w:t>when collecti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>n</w:t>
      </w:r>
      <w:r w:rsidR="00DE0529" w:rsidRPr="00EA109A">
        <w:rPr>
          <w:rFonts w:eastAsiaTheme="minorHAnsi" w:cstheme="minorBidi"/>
          <w:b w:val="0"/>
          <w:bCs w:val="0"/>
          <w:sz w:val="20"/>
          <w:szCs w:val="20"/>
        </w:rPr>
        <w:t>g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  <w:r w:rsidR="00662193">
        <w:rPr>
          <w:rFonts w:eastAsiaTheme="minorHAnsi" w:cstheme="minorBidi"/>
          <w:b w:val="0"/>
          <w:bCs w:val="0"/>
          <w:sz w:val="20"/>
          <w:szCs w:val="20"/>
        </w:rPr>
        <w:t>personal information from clients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. </w:t>
      </w:r>
    </w:p>
    <w:p w14:paraId="1E226FDB" w14:textId="6160B3A2" w:rsidR="006B2204" w:rsidRPr="00EA109A" w:rsidRDefault="006B2204" w:rsidP="00AB253B">
      <w:pPr>
        <w:pStyle w:val="Heading2"/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All organisations are required to obtain client consent </w:t>
      </w:r>
      <w:r w:rsidR="00D221D7">
        <w:rPr>
          <w:rFonts w:eastAsiaTheme="minorHAnsi" w:cstheme="minorBidi"/>
          <w:b w:val="0"/>
          <w:bCs w:val="0"/>
          <w:sz w:val="20"/>
          <w:szCs w:val="20"/>
        </w:rPr>
        <w:t xml:space="preserve">on behalf of DSS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before storing personal information in the Data Exchange. </w:t>
      </w:r>
      <w:r w:rsidR="00C602A0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In the Data Exchange, </w:t>
      </w:r>
      <w:r w:rsidR="00E87640" w:rsidRPr="00EA109A">
        <w:rPr>
          <w:rFonts w:eastAsiaTheme="minorHAnsi" w:cstheme="minorBidi"/>
          <w:b w:val="0"/>
          <w:bCs w:val="0"/>
          <w:sz w:val="20"/>
          <w:szCs w:val="20"/>
        </w:rPr>
        <w:t>personal information</w:t>
      </w:r>
      <w:r w:rsidR="00C602A0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  <w:r w:rsidR="00AF552F">
        <w:rPr>
          <w:rFonts w:eastAsiaTheme="minorHAnsi" w:cstheme="minorBidi"/>
          <w:b w:val="0"/>
          <w:bCs w:val="0"/>
          <w:sz w:val="20"/>
          <w:szCs w:val="20"/>
        </w:rPr>
        <w:t>includes</w:t>
      </w:r>
      <w:r w:rsidR="00AF552F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  <w:r w:rsidR="00E87640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the client’s </w:t>
      </w:r>
      <w:r w:rsidR="00C602A0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first name, last name and street-level address details.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>When consent is not given, the client’s personal information is not stored in the Data Exchange. In these cases, organisations can only see demographic data</w:t>
      </w:r>
      <w:r w:rsidR="00DF41E2">
        <w:rPr>
          <w:rFonts w:eastAsiaTheme="minorHAnsi" w:cstheme="minorBidi"/>
          <w:b w:val="0"/>
          <w:bCs w:val="0"/>
          <w:sz w:val="20"/>
          <w:szCs w:val="20"/>
        </w:rPr>
        <w:t xml:space="preserve"> and will need to keep a record of the client ID to be able to update the client’s record </w:t>
      </w:r>
      <w:r w:rsidR="000F3021">
        <w:rPr>
          <w:rFonts w:eastAsiaTheme="minorHAnsi" w:cstheme="minorBidi"/>
          <w:b w:val="0"/>
          <w:bCs w:val="0"/>
          <w:sz w:val="20"/>
          <w:szCs w:val="20"/>
        </w:rPr>
        <w:t xml:space="preserve">for </w:t>
      </w:r>
      <w:r w:rsidR="00DF41E2">
        <w:rPr>
          <w:rFonts w:eastAsiaTheme="minorHAnsi" w:cstheme="minorBidi"/>
          <w:b w:val="0"/>
          <w:bCs w:val="0"/>
          <w:sz w:val="20"/>
          <w:szCs w:val="20"/>
        </w:rPr>
        <w:t>future sessions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. </w:t>
      </w:r>
    </w:p>
    <w:p w14:paraId="35EA9A55" w14:textId="5CBE147E" w:rsidR="00DE0529" w:rsidRPr="00EA109A" w:rsidRDefault="0066687D" w:rsidP="00AB253B">
      <w:pPr>
        <w:pStyle w:val="Heading2"/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>Protecting each client’s personal information has been</w:t>
      </w:r>
      <w:r w:rsidR="00AF552F">
        <w:rPr>
          <w:rFonts w:eastAsiaTheme="minorHAnsi" w:cstheme="minorBidi"/>
          <w:b w:val="0"/>
          <w:bCs w:val="0"/>
          <w:sz w:val="20"/>
          <w:szCs w:val="20"/>
        </w:rPr>
        <w:t>,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and continues to be, a fundamental design principle of the Data Exchange. Data collected through the Data Exchange</w:t>
      </w:r>
      <w:r w:rsidR="00DF41E2">
        <w:rPr>
          <w:rFonts w:eastAsiaTheme="minorHAnsi" w:cstheme="minorBidi"/>
          <w:b w:val="0"/>
          <w:bCs w:val="0"/>
          <w:sz w:val="20"/>
          <w:szCs w:val="20"/>
        </w:rPr>
        <w:t xml:space="preserve"> is de-identified</w:t>
      </w:r>
      <w:r w:rsidR="008836AF">
        <w:rPr>
          <w:rFonts w:eastAsiaTheme="minorHAnsi" w:cstheme="minorBidi"/>
          <w:b w:val="0"/>
          <w:bCs w:val="0"/>
          <w:sz w:val="20"/>
          <w:szCs w:val="20"/>
        </w:rPr>
        <w:t>, meaning that DSS will not see a client’s personal information</w:t>
      </w:r>
      <w:r w:rsidR="00DF41E2">
        <w:rPr>
          <w:rFonts w:eastAsiaTheme="minorHAnsi" w:cstheme="minorBidi"/>
          <w:b w:val="0"/>
          <w:bCs w:val="0"/>
          <w:sz w:val="20"/>
          <w:szCs w:val="20"/>
        </w:rPr>
        <w:t xml:space="preserve"> even when they consent to their data being stored on the Data Exchange</w:t>
      </w:r>
      <w:r w:rsidR="008836AF">
        <w:rPr>
          <w:rFonts w:eastAsiaTheme="minorHAnsi" w:cstheme="minorBidi"/>
          <w:b w:val="0"/>
          <w:bCs w:val="0"/>
          <w:sz w:val="20"/>
          <w:szCs w:val="20"/>
        </w:rPr>
        <w:t xml:space="preserve">. This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de-identified </w:t>
      </w:r>
      <w:r w:rsidR="008836AF">
        <w:rPr>
          <w:rFonts w:eastAsiaTheme="minorHAnsi" w:cstheme="minorBidi"/>
          <w:b w:val="0"/>
          <w:bCs w:val="0"/>
          <w:sz w:val="20"/>
          <w:szCs w:val="20"/>
        </w:rPr>
        <w:t>data is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used for</w:t>
      </w:r>
      <w:r w:rsidR="00CA26D8">
        <w:rPr>
          <w:rFonts w:eastAsiaTheme="minorHAnsi" w:cstheme="minorBidi"/>
          <w:b w:val="0"/>
          <w:bCs w:val="0"/>
          <w:sz w:val="20"/>
          <w:szCs w:val="20"/>
        </w:rPr>
        <w:t xml:space="preserve"> policy </w:t>
      </w:r>
      <w:r w:rsidR="00197C50">
        <w:rPr>
          <w:rFonts w:eastAsiaTheme="minorHAnsi" w:cstheme="minorBidi"/>
          <w:b w:val="0"/>
          <w:bCs w:val="0"/>
          <w:sz w:val="20"/>
          <w:szCs w:val="20"/>
        </w:rPr>
        <w:t>development;</w:t>
      </w:r>
      <w:r w:rsidR="00CA26D8">
        <w:rPr>
          <w:rFonts w:eastAsiaTheme="minorHAnsi" w:cstheme="minorBidi"/>
          <w:b w:val="0"/>
          <w:bCs w:val="0"/>
          <w:sz w:val="20"/>
          <w:szCs w:val="20"/>
        </w:rPr>
        <w:t xml:space="preserve"> grants program administration, research and evaluation purposes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. </w:t>
      </w:r>
    </w:p>
    <w:p w14:paraId="2E40D0A8" w14:textId="77777777" w:rsidR="005757CF" w:rsidRPr="00EA109A" w:rsidRDefault="005757CF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>What happens when consent is not given?</w:t>
      </w:r>
    </w:p>
    <w:p w14:paraId="4B84D922" w14:textId="0C5DAE10" w:rsidR="00C04341" w:rsidRPr="00EA109A" w:rsidRDefault="0066687D" w:rsidP="00AB253B">
      <w:pPr>
        <w:pStyle w:val="Heading2"/>
        <w:spacing w:before="240" w:after="240"/>
        <w:rPr>
          <w:rFonts w:eastAsiaTheme="minorHAnsi" w:cstheme="minorBidi"/>
          <w:b w:val="0"/>
          <w:bCs w:val="0"/>
          <w:sz w:val="20"/>
          <w:szCs w:val="20"/>
        </w:rPr>
      </w:pP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For organisations using the web-based portal, this means unticking the consent to store personal information box </w:t>
      </w:r>
      <w:r w:rsidR="00A309DB" w:rsidRPr="00EA109A">
        <w:rPr>
          <w:rFonts w:eastAsiaTheme="minorHAnsi" w:cstheme="minorBidi"/>
          <w:b w:val="0"/>
          <w:bCs w:val="0"/>
          <w:sz w:val="20"/>
          <w:szCs w:val="20"/>
        </w:rPr>
        <w:t>attached to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a client record</w:t>
      </w:r>
      <w:r w:rsidR="000542D8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. When personal information is </w:t>
      </w:r>
      <w:r w:rsidR="00D850CA" w:rsidRPr="00EA109A">
        <w:rPr>
          <w:rFonts w:eastAsiaTheme="minorHAnsi" w:cstheme="minorBidi"/>
          <w:b w:val="0"/>
          <w:bCs w:val="0"/>
          <w:sz w:val="20"/>
          <w:szCs w:val="20"/>
        </w:rPr>
        <w:t>deleted from</w:t>
      </w:r>
      <w:r w:rsidR="000542D8"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the web-based portal, organisations will be able to see 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>de-identifie</w:t>
      </w:r>
      <w:r w:rsidR="000542D8" w:rsidRPr="00EA109A">
        <w:rPr>
          <w:rFonts w:eastAsiaTheme="minorHAnsi" w:cstheme="minorBidi"/>
          <w:b w:val="0"/>
          <w:bCs w:val="0"/>
          <w:sz w:val="20"/>
          <w:szCs w:val="20"/>
        </w:rPr>
        <w:t>d records</w:t>
      </w:r>
      <w:r w:rsidR="00DE0529" w:rsidRPr="00EA109A">
        <w:rPr>
          <w:rFonts w:eastAsiaTheme="minorHAnsi" w:cstheme="minorBidi"/>
          <w:b w:val="0"/>
          <w:bCs w:val="0"/>
          <w:sz w:val="20"/>
          <w:szCs w:val="20"/>
        </w:rPr>
        <w:t>, as detailed in the image below:</w:t>
      </w:r>
      <w:r w:rsidRPr="00EA109A">
        <w:rPr>
          <w:rFonts w:eastAsiaTheme="minorHAnsi" w:cstheme="minorBidi"/>
          <w:b w:val="0"/>
          <w:bCs w:val="0"/>
          <w:sz w:val="20"/>
          <w:szCs w:val="20"/>
        </w:rPr>
        <w:t xml:space="preserve"> </w:t>
      </w:r>
    </w:p>
    <w:p w14:paraId="3E0C4A6B" w14:textId="77777777" w:rsidR="005757CF" w:rsidRPr="00EA109A" w:rsidRDefault="005757CF" w:rsidP="005757C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  <w:r w:rsidRPr="00EA109A">
        <w:rPr>
          <w:rFonts w:ascii="Calibri" w:eastAsia="Times New Roman" w:hAnsi="Calibri" w:cs="Calibri"/>
          <w:noProof/>
          <w:sz w:val="20"/>
          <w:szCs w:val="20"/>
          <w:lang w:eastAsia="en-AU"/>
        </w:rPr>
        <w:drawing>
          <wp:inline distT="0" distB="0" distL="0" distR="0" wp14:anchorId="19C366D1" wp14:editId="31D345E4">
            <wp:extent cx="5143500" cy="2540318"/>
            <wp:effectExtent l="0" t="0" r="0" b="0"/>
            <wp:docPr id="1" name="Picture 1" descr="Organisation's view &#10;Consent provided &#10;Client profile &#10;Consent not provided&#10;Client profile " title="Organisation's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rganisation's view &#10;Consent rovided &#10;Client pro file &#10;Consent not &#10;C pro file &#10;rovided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90" cy="25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E09B" w14:textId="77777777" w:rsidR="006654B5" w:rsidRPr="00EA109A" w:rsidRDefault="006654B5" w:rsidP="007056B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</w:p>
    <w:p w14:paraId="493F3FF0" w14:textId="77777777" w:rsidR="00243C26" w:rsidRDefault="00243C26" w:rsidP="00C67D32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14:paraId="72F296E3" w14:textId="1E5774B3" w:rsidR="00114FD7" w:rsidRPr="00EA109A" w:rsidRDefault="00DE0529" w:rsidP="00C67D32">
      <w:pPr>
        <w:spacing w:after="0" w:line="240" w:lineRule="auto"/>
        <w:rPr>
          <w:rStyle w:val="TitleChar"/>
          <w:rFonts w:cs="Arial"/>
          <w:bCs/>
          <w:color w:val="31849B" w:themeColor="accent5" w:themeShade="BF"/>
          <w:spacing w:val="0"/>
          <w:sz w:val="20"/>
          <w:szCs w:val="20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For organisations using bulk uploads and system-to-system transfers, this means </w:t>
      </w:r>
      <w:r w:rsidR="00114FD7" w:rsidRPr="00EA109A">
        <w:rPr>
          <w:rFonts w:eastAsia="Times New Roman" w:cs="Arial"/>
          <w:sz w:val="20"/>
          <w:szCs w:val="20"/>
          <w:lang w:eastAsia="en-AU"/>
        </w:rPr>
        <w:t xml:space="preserve">not submitting </w:t>
      </w:r>
      <w:r w:rsidR="00551E09" w:rsidRPr="00EA109A">
        <w:rPr>
          <w:rFonts w:eastAsia="Times New Roman" w:cs="Arial"/>
          <w:sz w:val="20"/>
          <w:szCs w:val="20"/>
          <w:lang w:eastAsia="en-AU"/>
        </w:rPr>
        <w:t xml:space="preserve">personal </w:t>
      </w:r>
      <w:r w:rsidR="005A5370">
        <w:rPr>
          <w:rFonts w:eastAsia="Times New Roman" w:cs="Arial"/>
          <w:sz w:val="20"/>
          <w:szCs w:val="20"/>
          <w:lang w:eastAsia="en-AU"/>
        </w:rPr>
        <w:t>information</w:t>
      </w:r>
      <w:r w:rsidR="005A5370" w:rsidRPr="00EA109A">
        <w:rPr>
          <w:rFonts w:eastAsia="Times New Roman" w:cs="Arial"/>
          <w:sz w:val="20"/>
          <w:szCs w:val="20"/>
          <w:lang w:eastAsia="en-AU"/>
        </w:rPr>
        <w:t xml:space="preserve"> </w:t>
      </w:r>
      <w:r w:rsidR="00114FD7" w:rsidRPr="00EA109A">
        <w:rPr>
          <w:rFonts w:eastAsia="Times New Roman" w:cs="Arial"/>
          <w:sz w:val="20"/>
          <w:szCs w:val="20"/>
          <w:lang w:eastAsia="en-AU"/>
        </w:rPr>
        <w:t xml:space="preserve">to the Data Exchange </w:t>
      </w:r>
      <w:r w:rsidR="00551E09" w:rsidRPr="00EA109A">
        <w:rPr>
          <w:rFonts w:eastAsia="Times New Roman" w:cs="Arial"/>
          <w:sz w:val="20"/>
          <w:szCs w:val="20"/>
          <w:lang w:eastAsia="en-AU"/>
        </w:rPr>
        <w:t>and/</w:t>
      </w:r>
      <w:r w:rsidR="00114FD7" w:rsidRPr="00EA109A">
        <w:rPr>
          <w:rFonts w:eastAsia="Times New Roman" w:cs="Arial"/>
          <w:sz w:val="20"/>
          <w:szCs w:val="20"/>
          <w:lang w:eastAsia="en-AU"/>
        </w:rPr>
        <w:t xml:space="preserve">or </w:t>
      </w:r>
      <w:r w:rsidRPr="00EA109A">
        <w:rPr>
          <w:rFonts w:eastAsia="Times New Roman" w:cs="Arial"/>
          <w:sz w:val="20"/>
          <w:szCs w:val="20"/>
          <w:lang w:eastAsia="en-AU"/>
        </w:rPr>
        <w:t>generating a statistical linkage key</w:t>
      </w:r>
      <w:r w:rsidR="00114FD7" w:rsidRPr="00EA109A">
        <w:rPr>
          <w:rFonts w:eastAsia="Times New Roman" w:cs="Arial"/>
          <w:sz w:val="20"/>
          <w:szCs w:val="20"/>
          <w:lang w:eastAsia="en-AU"/>
        </w:rPr>
        <w:t>, to remove personal information</w:t>
      </w:r>
      <w:r w:rsidR="00593699" w:rsidRPr="00EA109A">
        <w:rPr>
          <w:rFonts w:eastAsia="Times New Roman" w:cs="Arial"/>
          <w:sz w:val="20"/>
          <w:szCs w:val="20"/>
          <w:lang w:eastAsia="en-AU"/>
        </w:rPr>
        <w:t xml:space="preserve"> </w:t>
      </w:r>
      <w:r w:rsidR="00551E09" w:rsidRPr="00EA109A">
        <w:rPr>
          <w:rFonts w:eastAsia="Times New Roman" w:cs="Arial"/>
          <w:sz w:val="20"/>
          <w:szCs w:val="20"/>
          <w:lang w:eastAsia="en-AU"/>
        </w:rPr>
        <w:t>prior to submission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. For specific instructions on how to do this for the upload method you are using, please refer to the </w:t>
      </w:r>
      <w:r w:rsidRPr="005E19FC">
        <w:rPr>
          <w:rFonts w:eastAsia="Times New Roman" w:cs="Arial"/>
          <w:sz w:val="20"/>
          <w:szCs w:val="20"/>
          <w:lang w:eastAsia="en-AU"/>
        </w:rPr>
        <w:t xml:space="preserve">Data Exchange </w:t>
      </w:r>
      <w:hyperlink r:id="rId9" w:history="1">
        <w:r w:rsidRPr="005E19FC">
          <w:rPr>
            <w:rStyle w:val="Hyperlink"/>
            <w:rFonts w:eastAsia="Times New Roman" w:cs="Arial"/>
            <w:sz w:val="20"/>
            <w:szCs w:val="20"/>
            <w:lang w:eastAsia="en-AU"/>
          </w:rPr>
          <w:t>Technical Specifications</w:t>
        </w:r>
      </w:hyperlink>
      <w:r w:rsidRPr="00EA109A">
        <w:rPr>
          <w:rFonts w:eastAsia="Times New Roman" w:cs="Arial"/>
          <w:sz w:val="20"/>
          <w:szCs w:val="20"/>
          <w:lang w:eastAsia="en-AU"/>
        </w:rPr>
        <w:t xml:space="preserve"> </w:t>
      </w:r>
      <w:r w:rsidR="005E19FC">
        <w:rPr>
          <w:rFonts w:eastAsia="Times New Roman" w:cs="Arial"/>
          <w:sz w:val="20"/>
          <w:szCs w:val="20"/>
          <w:lang w:eastAsia="en-AU"/>
        </w:rPr>
        <w:t>fact sheet</w:t>
      </w:r>
      <w:r w:rsidR="001202F4">
        <w:rPr>
          <w:rFonts w:eastAsia="Times New Roman" w:cs="Arial"/>
          <w:sz w:val="20"/>
          <w:szCs w:val="20"/>
          <w:lang w:eastAsia="en-AU"/>
        </w:rPr>
        <w:t>.</w:t>
      </w:r>
    </w:p>
    <w:p w14:paraId="5F937E8B" w14:textId="74795F76" w:rsidR="005757CF" w:rsidRPr="00EA109A" w:rsidRDefault="00DE0529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What </w:t>
      </w:r>
      <w:r w:rsidR="005757CF" w:rsidRPr="00EA109A">
        <w:rPr>
          <w:rFonts w:eastAsia="Arial"/>
          <w:color w:val="215868" w:themeColor="accent5" w:themeShade="80"/>
          <w:sz w:val="22"/>
          <w:szCs w:val="22"/>
        </w:rPr>
        <w:t xml:space="preserve">happens if a client will not give their </w:t>
      </w:r>
      <w:r w:rsidR="007056B3" w:rsidRPr="00EA109A">
        <w:rPr>
          <w:rFonts w:eastAsia="Arial"/>
          <w:color w:val="215868" w:themeColor="accent5" w:themeShade="80"/>
          <w:sz w:val="22"/>
          <w:szCs w:val="22"/>
        </w:rPr>
        <w:t>details</w:t>
      </w:r>
      <w:r w:rsidR="005757CF" w:rsidRPr="00EA109A">
        <w:rPr>
          <w:rFonts w:eastAsia="Arial"/>
          <w:color w:val="215868" w:themeColor="accent5" w:themeShade="80"/>
          <w:sz w:val="22"/>
          <w:szCs w:val="22"/>
        </w:rPr>
        <w:t>?</w:t>
      </w:r>
    </w:p>
    <w:p w14:paraId="20BF3D45" w14:textId="7A40BDE5" w:rsidR="006654B5" w:rsidRPr="00EA109A" w:rsidRDefault="003B4B4C" w:rsidP="00114FD7">
      <w:pPr>
        <w:spacing w:before="200" w:after="0" w:line="240" w:lineRule="auto"/>
        <w:rPr>
          <w:rFonts w:cs="Arial"/>
          <w:sz w:val="20"/>
          <w:szCs w:val="20"/>
        </w:rPr>
      </w:pPr>
      <w:r w:rsidRPr="00EA109A">
        <w:rPr>
          <w:rFonts w:eastAsia="Times New Roman" w:cs="Arial"/>
          <w:sz w:val="20"/>
          <w:szCs w:val="20"/>
          <w:lang w:eastAsia="en-AU"/>
        </w:rPr>
        <w:t>Where a client does not wish to disclose their ‘real’ name, the organisation should indicate that a pseudonym is being used</w:t>
      </w:r>
      <w:r w:rsidR="004C3A49" w:rsidRPr="00EA109A">
        <w:rPr>
          <w:rFonts w:eastAsia="Times New Roman" w:cs="Arial"/>
          <w:sz w:val="20"/>
          <w:szCs w:val="20"/>
          <w:lang w:eastAsia="en-AU"/>
        </w:rPr>
        <w:t>. T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he client is advised to continue to use the pseudonym for the duration of the service. </w:t>
      </w:r>
      <w:r w:rsidRPr="00EA109A">
        <w:rPr>
          <w:rFonts w:cs="Arial"/>
          <w:sz w:val="20"/>
          <w:szCs w:val="20"/>
        </w:rPr>
        <w:t xml:space="preserve"> </w:t>
      </w:r>
    </w:p>
    <w:p w14:paraId="386A92E8" w14:textId="6F571A0C" w:rsidR="00A95330" w:rsidRPr="00EA109A" w:rsidRDefault="003B4B4C" w:rsidP="00114FD7">
      <w:pPr>
        <w:spacing w:before="200" w:after="0" w:line="240" w:lineRule="auto"/>
        <w:rPr>
          <w:rStyle w:val="TitleChar"/>
          <w:rFonts w:eastAsia="Times New Roman" w:cs="Arial"/>
          <w:spacing w:val="0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Where a client does not know their date of birth or does not wish to disclose it, a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>n estimated date of birth may be created for clients. The estimate should aim to be as close to the client</w:t>
      </w:r>
      <w:r w:rsidR="005A5370">
        <w:rPr>
          <w:rFonts w:eastAsia="Times New Roman" w:cs="Arial"/>
          <w:sz w:val="20"/>
          <w:szCs w:val="20"/>
          <w:lang w:eastAsia="en-AU"/>
        </w:rPr>
        <w:t>’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s age as possible, in the form of their estimated year of birth. </w:t>
      </w:r>
    </w:p>
    <w:p w14:paraId="6B92A426" w14:textId="1ABED849" w:rsidR="005757CF" w:rsidRPr="00EA109A" w:rsidRDefault="005757CF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What </w:t>
      </w:r>
      <w:r w:rsidR="00460868" w:rsidRPr="00EA109A">
        <w:rPr>
          <w:rFonts w:eastAsia="Arial"/>
          <w:color w:val="215868" w:themeColor="accent5" w:themeShade="80"/>
          <w:sz w:val="22"/>
          <w:szCs w:val="22"/>
        </w:rPr>
        <w:t xml:space="preserve">is </w:t>
      </w: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consent </w:t>
      </w:r>
      <w:r w:rsidR="00460868" w:rsidRPr="00EA109A">
        <w:rPr>
          <w:rFonts w:eastAsia="Arial"/>
          <w:color w:val="215868" w:themeColor="accent5" w:themeShade="80"/>
          <w:sz w:val="22"/>
          <w:szCs w:val="22"/>
        </w:rPr>
        <w:t xml:space="preserve">to participate in follow-up </w:t>
      </w:r>
      <w:r w:rsidRPr="00EA109A">
        <w:rPr>
          <w:rFonts w:eastAsia="Arial"/>
          <w:color w:val="215868" w:themeColor="accent5" w:themeShade="80"/>
          <w:sz w:val="22"/>
          <w:szCs w:val="22"/>
        </w:rPr>
        <w:t xml:space="preserve">research? </w:t>
      </w:r>
    </w:p>
    <w:p w14:paraId="73B025C9" w14:textId="77777777" w:rsidR="005757CF" w:rsidRPr="00EA109A" w:rsidRDefault="00DE0529" w:rsidP="005757CF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F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unding agencies and third parties (such as universities) are interested in commissioning 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future 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>research to better understand client needs and find opportunities to improve service delivery. Obtaining client consent to participate in research will create a</w:t>
      </w:r>
      <w:r w:rsidRPr="00EA109A">
        <w:rPr>
          <w:rFonts w:eastAsia="Times New Roman" w:cs="Arial"/>
          <w:sz w:val="20"/>
          <w:szCs w:val="20"/>
          <w:lang w:eastAsia="en-AU"/>
        </w:rPr>
        <w:t>n indicative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 pool of willing participants for </w:t>
      </w:r>
      <w:r w:rsidR="00A95330" w:rsidRPr="00EA109A">
        <w:rPr>
          <w:rFonts w:eastAsia="Times New Roman" w:cs="Arial"/>
          <w:sz w:val="20"/>
          <w:szCs w:val="20"/>
          <w:lang w:eastAsia="en-AU"/>
        </w:rPr>
        <w:t>future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 research projects. </w:t>
      </w:r>
    </w:p>
    <w:p w14:paraId="47A68415" w14:textId="1B705081" w:rsidR="005757CF" w:rsidRPr="00EA109A" w:rsidRDefault="005757CF" w:rsidP="005757CF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The specific details about commissioning and administering client research is likely to vary </w:t>
      </w:r>
      <w:r w:rsidR="00AF552F">
        <w:rPr>
          <w:rFonts w:eastAsia="Times New Roman" w:cs="Arial"/>
          <w:sz w:val="20"/>
          <w:szCs w:val="20"/>
          <w:lang w:eastAsia="en-AU"/>
        </w:rPr>
        <w:t>depending</w:t>
      </w:r>
      <w:r w:rsidR="00AF552F" w:rsidRPr="00EA109A">
        <w:rPr>
          <w:rFonts w:eastAsia="Times New Roman" w:cs="Arial"/>
          <w:sz w:val="20"/>
          <w:szCs w:val="20"/>
          <w:lang w:eastAsia="en-AU"/>
        </w:rPr>
        <w:t xml:space="preserve"> </w:t>
      </w:r>
      <w:r w:rsidRPr="00EA109A">
        <w:rPr>
          <w:rFonts w:eastAsia="Times New Roman" w:cs="Arial"/>
          <w:sz w:val="20"/>
          <w:szCs w:val="20"/>
          <w:lang w:eastAsia="en-AU"/>
        </w:rPr>
        <w:t>on the nature of th</w:t>
      </w:r>
      <w:r w:rsidR="00DE0529" w:rsidRPr="00EA109A">
        <w:rPr>
          <w:rFonts w:eastAsia="Times New Roman" w:cs="Arial"/>
          <w:sz w:val="20"/>
          <w:szCs w:val="20"/>
          <w:lang w:eastAsia="en-AU"/>
        </w:rPr>
        <w:t>e planned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 evaluation. Basic steps are:</w:t>
      </w:r>
    </w:p>
    <w:p w14:paraId="5A260167" w14:textId="77777777" w:rsidR="005757CF" w:rsidRPr="00EA109A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Organisations must ask clients if they are open to participating in </w:t>
      </w:r>
      <w:r w:rsidR="007056B3" w:rsidRPr="00EA109A">
        <w:rPr>
          <w:rFonts w:eastAsia="Times New Roman" w:cs="Arial"/>
          <w:sz w:val="20"/>
          <w:szCs w:val="20"/>
          <w:lang w:eastAsia="en-AU"/>
        </w:rPr>
        <w:t xml:space="preserve">future 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client research. This consent forms part of the priority requirements.  </w:t>
      </w:r>
    </w:p>
    <w:p w14:paraId="7F10BC35" w14:textId="77777777" w:rsidR="005757CF" w:rsidRPr="00EA109A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Any research conducted will be approved by a recognised ethics committee.</w:t>
      </w:r>
    </w:p>
    <w:p w14:paraId="40113DC2" w14:textId="77777777" w:rsidR="00D850CA" w:rsidRPr="00EA109A" w:rsidRDefault="00D850CA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Researchers will communicat</w:t>
      </w:r>
      <w:r w:rsidR="00A95330" w:rsidRPr="00EA109A">
        <w:rPr>
          <w:rFonts w:eastAsia="Times New Roman" w:cs="Arial"/>
          <w:sz w:val="20"/>
          <w:szCs w:val="20"/>
          <w:lang w:eastAsia="en-AU"/>
        </w:rPr>
        <w:t>e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 with organisations before any research activities start.</w:t>
      </w:r>
    </w:p>
    <w:p w14:paraId="707B02BB" w14:textId="77777777" w:rsidR="005757CF" w:rsidRPr="00EA109A" w:rsidRDefault="00114FD7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Organisations and researchers commit to </w:t>
      </w:r>
      <w:r w:rsidR="00A95330" w:rsidRPr="00EA109A">
        <w:rPr>
          <w:rFonts w:eastAsia="Times New Roman" w:cs="Arial"/>
          <w:sz w:val="20"/>
          <w:szCs w:val="20"/>
          <w:lang w:eastAsia="en-AU"/>
        </w:rPr>
        <w:t xml:space="preserve">clear and simple 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communications 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to help 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clients 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understand </w:t>
      </w:r>
      <w:r w:rsidR="007056B3" w:rsidRPr="00EA109A">
        <w:rPr>
          <w:rFonts w:eastAsia="Times New Roman" w:cs="Arial"/>
          <w:sz w:val="20"/>
          <w:szCs w:val="20"/>
          <w:lang w:eastAsia="en-AU"/>
        </w:rPr>
        <w:t xml:space="preserve">why research </w:t>
      </w:r>
      <w:r w:rsidR="00A309DB" w:rsidRPr="00EA109A">
        <w:rPr>
          <w:rFonts w:eastAsia="Times New Roman" w:cs="Arial"/>
          <w:sz w:val="20"/>
          <w:szCs w:val="20"/>
          <w:lang w:eastAsia="en-AU"/>
        </w:rPr>
        <w:t>is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 important and what it mean</w:t>
      </w:r>
      <w:r w:rsidR="00A95330" w:rsidRPr="00EA109A">
        <w:rPr>
          <w:rFonts w:eastAsia="Times New Roman" w:cs="Arial"/>
          <w:sz w:val="20"/>
          <w:szCs w:val="20"/>
          <w:lang w:eastAsia="en-AU"/>
        </w:rPr>
        <w:t>s</w:t>
      </w:r>
      <w:r w:rsidR="005757CF" w:rsidRPr="00EA109A">
        <w:rPr>
          <w:rFonts w:eastAsia="Times New Roman" w:cs="Arial"/>
          <w:sz w:val="20"/>
          <w:szCs w:val="20"/>
          <w:lang w:eastAsia="en-AU"/>
        </w:rPr>
        <w:t xml:space="preserve"> to participate. </w:t>
      </w:r>
    </w:p>
    <w:p w14:paraId="3A24B62C" w14:textId="77777777" w:rsidR="005757CF" w:rsidRPr="00EA109A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Clients can withdraw their consent at any time.</w:t>
      </w:r>
    </w:p>
    <w:p w14:paraId="2D6D81BD" w14:textId="77777777" w:rsidR="007056B3" w:rsidRPr="00EA109A" w:rsidRDefault="007056B3" w:rsidP="00AB253B">
      <w:pPr>
        <w:pStyle w:val="Heading2"/>
        <w:spacing w:before="240" w:after="240"/>
        <w:rPr>
          <w:rFonts w:eastAsia="Arial"/>
          <w:color w:val="215868" w:themeColor="accent5" w:themeShade="80"/>
          <w:sz w:val="22"/>
          <w:szCs w:val="22"/>
        </w:rPr>
      </w:pPr>
      <w:r w:rsidRPr="00EA109A">
        <w:rPr>
          <w:rFonts w:eastAsia="Arial"/>
          <w:color w:val="215868" w:themeColor="accent5" w:themeShade="80"/>
          <w:sz w:val="22"/>
          <w:szCs w:val="22"/>
        </w:rPr>
        <w:t>More information:</w:t>
      </w:r>
    </w:p>
    <w:p w14:paraId="5D16FBA3" w14:textId="0802DAA4" w:rsidR="00DE0529" w:rsidRPr="00EA109A" w:rsidRDefault="007056B3" w:rsidP="00DE0529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>There are</w:t>
      </w:r>
      <w:r w:rsidR="00DE0529" w:rsidRPr="00EA109A">
        <w:rPr>
          <w:rFonts w:eastAsia="Times New Roman" w:cs="Arial"/>
          <w:sz w:val="20"/>
          <w:szCs w:val="20"/>
          <w:lang w:eastAsia="en-AU"/>
        </w:rPr>
        <w:t xml:space="preserve"> a number of communication materials on the Data Exchange website that discuss privacy</w:t>
      </w:r>
      <w:r w:rsidR="0000411F">
        <w:rPr>
          <w:rFonts w:eastAsia="Times New Roman" w:cs="Arial"/>
          <w:sz w:val="20"/>
          <w:szCs w:val="20"/>
          <w:lang w:eastAsia="en-AU"/>
        </w:rPr>
        <w:t xml:space="preserve"> and consent</w:t>
      </w:r>
      <w:r w:rsidR="00DE0529" w:rsidRPr="00EA109A">
        <w:rPr>
          <w:rFonts w:eastAsia="Times New Roman" w:cs="Arial"/>
          <w:sz w:val="20"/>
          <w:szCs w:val="20"/>
          <w:lang w:eastAsia="en-AU"/>
        </w:rPr>
        <w:t>:</w:t>
      </w:r>
    </w:p>
    <w:p w14:paraId="55C07D19" w14:textId="4213FC89" w:rsidR="00DE0529" w:rsidRPr="00EA109A" w:rsidRDefault="00DE0529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A </w:t>
      </w:r>
      <w:hyperlink r:id="rId10" w:history="1">
        <w:r w:rsidRPr="00902C91">
          <w:rPr>
            <w:rStyle w:val="Hyperlink"/>
            <w:rFonts w:eastAsia="Times New Roman" w:cs="Arial"/>
            <w:sz w:val="20"/>
            <w:szCs w:val="20"/>
            <w:lang w:eastAsia="en-AU"/>
          </w:rPr>
          <w:t>factshe</w:t>
        </w:r>
        <w:r w:rsidR="00902C91" w:rsidRPr="00902C91">
          <w:rPr>
            <w:rStyle w:val="Hyperlink"/>
            <w:rFonts w:eastAsia="Times New Roman" w:cs="Arial"/>
            <w:sz w:val="20"/>
            <w:szCs w:val="20"/>
            <w:lang w:eastAsia="en-AU"/>
          </w:rPr>
          <w:t>et</w:t>
        </w:r>
      </w:hyperlink>
      <w:r w:rsidRPr="00EA109A">
        <w:rPr>
          <w:rFonts w:eastAsia="Times New Roman" w:cs="Arial"/>
          <w:sz w:val="20"/>
          <w:szCs w:val="20"/>
          <w:lang w:eastAsia="en-AU"/>
        </w:rPr>
        <w:t xml:space="preserve"> on how privacy is protected in the Data Exchange, to </w:t>
      </w:r>
      <w:r w:rsidR="007056B3" w:rsidRPr="00EA109A">
        <w:rPr>
          <w:rFonts w:eastAsia="Times New Roman" w:cs="Arial"/>
          <w:sz w:val="20"/>
          <w:szCs w:val="20"/>
          <w:lang w:eastAsia="en-AU"/>
        </w:rPr>
        <w:t>help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 organisations </w:t>
      </w:r>
      <w:r w:rsidR="007056B3" w:rsidRPr="00EA109A">
        <w:rPr>
          <w:rFonts w:eastAsia="Times New Roman" w:cs="Arial"/>
          <w:sz w:val="20"/>
          <w:szCs w:val="20"/>
          <w:lang w:eastAsia="en-AU"/>
        </w:rPr>
        <w:t>discuss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 privacy with their clients.</w:t>
      </w:r>
    </w:p>
    <w:p w14:paraId="01B63910" w14:textId="5114708C" w:rsidR="00BC0B8E" w:rsidRPr="00EA109A" w:rsidRDefault="00DE0529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The </w:t>
      </w:r>
      <w:r w:rsidRPr="007B1CC1">
        <w:rPr>
          <w:rFonts w:eastAsia="Times New Roman" w:cs="Arial"/>
          <w:sz w:val="20"/>
          <w:szCs w:val="20"/>
          <w:lang w:eastAsia="en-AU"/>
        </w:rPr>
        <w:t>Data Exchange</w:t>
      </w:r>
      <w:r w:rsidRPr="007B1CC1">
        <w:rPr>
          <w:rFonts w:eastAsia="Times New Roman" w:cs="Arial"/>
          <w:sz w:val="20"/>
          <w:szCs w:val="20"/>
          <w:u w:val="single"/>
          <w:lang w:eastAsia="en-AU"/>
        </w:rPr>
        <w:t xml:space="preserve"> </w:t>
      </w:r>
      <w:hyperlink r:id="rId11" w:history="1">
        <w:r w:rsidRPr="00902C91">
          <w:rPr>
            <w:rStyle w:val="Hyperlink"/>
            <w:rFonts w:eastAsia="Times New Roman" w:cs="Arial"/>
            <w:sz w:val="20"/>
            <w:szCs w:val="20"/>
            <w:lang w:eastAsia="en-AU"/>
          </w:rPr>
          <w:t>Protocols</w:t>
        </w:r>
      </w:hyperlink>
      <w:r w:rsidR="00902C91">
        <w:rPr>
          <w:rFonts w:eastAsia="Times New Roman" w:cs="Arial"/>
          <w:color w:val="0000FF"/>
          <w:sz w:val="20"/>
          <w:szCs w:val="20"/>
          <w:u w:val="single"/>
          <w:lang w:eastAsia="en-AU"/>
        </w:rPr>
        <w:t xml:space="preserve"> 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outlines organisations’ privacy obligations and consent procedures. </w:t>
      </w:r>
    </w:p>
    <w:p w14:paraId="19667597" w14:textId="1B4242F7" w:rsidR="007B0256" w:rsidRPr="00EA109A" w:rsidRDefault="007056B3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EA109A">
        <w:rPr>
          <w:rFonts w:eastAsia="Times New Roman" w:cs="Arial"/>
          <w:sz w:val="20"/>
          <w:szCs w:val="20"/>
          <w:lang w:eastAsia="en-AU"/>
        </w:rPr>
        <w:t xml:space="preserve">The </w:t>
      </w:r>
      <w:hyperlink r:id="rId12" w:history="1">
        <w:r w:rsidRPr="00902C91">
          <w:rPr>
            <w:rStyle w:val="Hyperlink"/>
            <w:rFonts w:eastAsia="Times New Roman" w:cs="Arial"/>
            <w:sz w:val="20"/>
            <w:szCs w:val="20"/>
            <w:lang w:eastAsia="en-AU"/>
          </w:rPr>
          <w:t>Privacy Impact Assessment</w:t>
        </w:r>
      </w:hyperlink>
      <w:r w:rsidRPr="00EA109A">
        <w:rPr>
          <w:rFonts w:eastAsia="Times New Roman" w:cs="Arial"/>
          <w:sz w:val="20"/>
          <w:szCs w:val="20"/>
          <w:lang w:eastAsia="en-AU"/>
        </w:rPr>
        <w:t xml:space="preserve"> confirms the Data Exchange is operating in line with the </w:t>
      </w:r>
      <w:r w:rsidRPr="00243C26">
        <w:rPr>
          <w:rFonts w:eastAsia="Times New Roman" w:cs="Arial"/>
          <w:i/>
          <w:sz w:val="20"/>
          <w:szCs w:val="20"/>
          <w:lang w:eastAsia="en-AU"/>
        </w:rPr>
        <w:t xml:space="preserve">Privacy Act </w:t>
      </w:r>
      <w:r w:rsidRPr="00EA109A">
        <w:rPr>
          <w:rFonts w:eastAsia="Times New Roman" w:cs="Arial"/>
          <w:sz w:val="20"/>
          <w:szCs w:val="20"/>
          <w:lang w:eastAsia="en-AU"/>
        </w:rPr>
        <w:t>and has been released in the interest</w:t>
      </w:r>
      <w:r w:rsidR="00AF552F">
        <w:rPr>
          <w:rFonts w:eastAsia="Times New Roman" w:cs="Arial"/>
          <w:sz w:val="20"/>
          <w:szCs w:val="20"/>
          <w:lang w:eastAsia="en-AU"/>
        </w:rPr>
        <w:t>s</w:t>
      </w:r>
      <w:r w:rsidRPr="00EA109A">
        <w:rPr>
          <w:rFonts w:eastAsia="Times New Roman" w:cs="Arial"/>
          <w:sz w:val="20"/>
          <w:szCs w:val="20"/>
          <w:lang w:eastAsia="en-AU"/>
        </w:rPr>
        <w:t xml:space="preserve"> of transparency and accountability.</w:t>
      </w:r>
    </w:p>
    <w:p w14:paraId="0AB9ECF0" w14:textId="2C71A010" w:rsidR="00D850CA" w:rsidRPr="00EA109A" w:rsidRDefault="00D850CA" w:rsidP="001E25ED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B612A1">
        <w:rPr>
          <w:rFonts w:eastAsia="Times New Roman" w:cs="Arial"/>
          <w:sz w:val="20"/>
          <w:szCs w:val="20"/>
          <w:lang w:eastAsia="en-AU"/>
        </w:rPr>
        <w:t xml:space="preserve">You can contact the Data Exchange helpdesk via email </w:t>
      </w:r>
      <w:hyperlink r:id="rId13" w:history="1">
        <w:r w:rsidRPr="00B612A1">
          <w:rPr>
            <w:rFonts w:eastAsia="Times New Roman" w:cs="Arial"/>
            <w:sz w:val="20"/>
            <w:szCs w:val="20"/>
            <w:lang w:eastAsia="en-AU"/>
          </w:rPr>
          <w:t>dssdataexchange.helpdesk@dss.gov.au</w:t>
        </w:r>
      </w:hyperlink>
      <w:r w:rsidRPr="00B612A1">
        <w:rPr>
          <w:rFonts w:eastAsia="Times New Roman" w:cs="Arial"/>
          <w:sz w:val="20"/>
          <w:szCs w:val="20"/>
          <w:lang w:eastAsia="en-AU"/>
        </w:rPr>
        <w:t xml:space="preserve"> or phone 1800 020 283 between 8.30am – 5.30pm </w:t>
      </w:r>
      <w:bookmarkStart w:id="0" w:name="_GoBack"/>
      <w:bookmarkEnd w:id="0"/>
      <w:r w:rsidRPr="00B612A1">
        <w:rPr>
          <w:rFonts w:eastAsia="Times New Roman" w:cs="Arial"/>
          <w:sz w:val="20"/>
          <w:szCs w:val="20"/>
          <w:lang w:eastAsia="en-AU"/>
        </w:rPr>
        <w:t xml:space="preserve">Monday to Friday. </w:t>
      </w:r>
    </w:p>
    <w:sectPr w:rsidR="00D850CA" w:rsidRPr="00EA109A" w:rsidSect="009A0A41">
      <w:headerReference w:type="default" r:id="rId14"/>
      <w:footerReference w:type="default" r:id="rId1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4A69" w14:textId="77777777" w:rsidR="009B49DD" w:rsidRDefault="009B49DD" w:rsidP="00B04ED8">
      <w:pPr>
        <w:spacing w:after="0" w:line="240" w:lineRule="auto"/>
      </w:pPr>
      <w:r>
        <w:separator/>
      </w:r>
    </w:p>
  </w:endnote>
  <w:endnote w:type="continuationSeparator" w:id="0">
    <w:p w14:paraId="0B4B8CCE" w14:textId="77777777" w:rsidR="009B49DD" w:rsidRDefault="009B49D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B253B" w:rsidRPr="00AB253B" w14:paraId="1D944249" w14:textId="77777777" w:rsidTr="00AB253B">
      <w:tc>
        <w:tcPr>
          <w:tcW w:w="4500" w:type="pct"/>
          <w:tcBorders>
            <w:top w:val="single" w:sz="4" w:space="0" w:color="000000"/>
          </w:tcBorders>
        </w:tcPr>
        <w:p w14:paraId="53AEBBE1" w14:textId="3916904A" w:rsidR="00AB253B" w:rsidRPr="00AB253B" w:rsidRDefault="00B612A1" w:rsidP="00197C50">
          <w:pPr>
            <w:tabs>
              <w:tab w:val="center" w:pos="4513"/>
              <w:tab w:val="left" w:pos="5059"/>
              <w:tab w:val="right" w:pos="9026"/>
            </w:tabs>
            <w:spacing w:after="0" w:line="240" w:lineRule="auto"/>
            <w:rPr>
              <w:rFonts w:eastAsia="Times New Roman" w:cs="Arial"/>
              <w:sz w:val="18"/>
              <w:szCs w:val="18"/>
              <w:lang w:eastAsia="en-AU"/>
            </w:rPr>
          </w:pPr>
          <w:r>
            <w:rPr>
              <w:rFonts w:eastAsia="Times New Roman" w:cs="Arial"/>
              <w:sz w:val="18"/>
              <w:szCs w:val="18"/>
              <w:lang w:eastAsia="en-AU"/>
            </w:rPr>
            <w:t>Information for clients about consent</w:t>
          </w:r>
          <w:r w:rsidR="00243C26">
            <w:rPr>
              <w:rFonts w:eastAsia="Times New Roman" w:cs="Arial"/>
              <w:sz w:val="18"/>
              <w:szCs w:val="18"/>
              <w:lang w:eastAsia="en-AU"/>
            </w:rPr>
            <w:t xml:space="preserve"> </w:t>
          </w:r>
          <w:r w:rsidR="00792235">
            <w:rPr>
              <w:rFonts w:eastAsia="Times New Roman" w:cs="Arial"/>
              <w:sz w:val="18"/>
              <w:szCs w:val="18"/>
              <w:lang w:eastAsia="en-AU"/>
            </w:rPr>
            <w:t>(</w:t>
          </w:r>
          <w:r w:rsidR="00AB253B" w:rsidRPr="00AB253B">
            <w:rPr>
              <w:rFonts w:eastAsia="Times New Roman" w:cs="Arial"/>
              <w:sz w:val="18"/>
              <w:szCs w:val="18"/>
              <w:lang w:eastAsia="en-AU"/>
            </w:rPr>
            <w:t xml:space="preserve">Version </w:t>
          </w:r>
          <w:r w:rsidR="007B1CC1">
            <w:rPr>
              <w:rFonts w:eastAsia="Times New Roman" w:cs="Arial"/>
              <w:sz w:val="18"/>
              <w:szCs w:val="18"/>
              <w:lang w:eastAsia="en-AU"/>
            </w:rPr>
            <w:t>2</w:t>
          </w:r>
          <w:r w:rsidR="00AB253B" w:rsidRPr="00AB253B">
            <w:rPr>
              <w:rFonts w:eastAsia="Times New Roman" w:cs="Arial"/>
              <w:sz w:val="18"/>
              <w:szCs w:val="18"/>
              <w:lang w:eastAsia="en-AU"/>
            </w:rPr>
            <w:t xml:space="preserve">, </w:t>
          </w:r>
          <w:r w:rsidR="00D604A4">
            <w:rPr>
              <w:rFonts w:eastAsia="Times New Roman" w:cs="Arial"/>
              <w:sz w:val="18"/>
              <w:szCs w:val="18"/>
              <w:lang w:eastAsia="en-AU"/>
            </w:rPr>
            <w:t>October</w:t>
          </w:r>
          <w:r w:rsidR="007B1CC1">
            <w:rPr>
              <w:rFonts w:eastAsia="Times New Roman" w:cs="Arial"/>
              <w:sz w:val="18"/>
              <w:szCs w:val="18"/>
              <w:lang w:eastAsia="en-AU"/>
            </w:rPr>
            <w:t xml:space="preserve"> 2022</w:t>
          </w:r>
          <w:r w:rsidR="00792235">
            <w:rPr>
              <w:rFonts w:eastAsia="Times New Roman" w:cs="Arial"/>
              <w:sz w:val="18"/>
              <w:szCs w:val="18"/>
              <w:lang w:eastAsia="en-AU"/>
            </w:rPr>
            <w:t>)</w:t>
          </w:r>
        </w:p>
      </w:tc>
      <w:tc>
        <w:tcPr>
          <w:tcW w:w="500" w:type="pct"/>
          <w:tcBorders>
            <w:top w:val="single" w:sz="4" w:space="0" w:color="04617B"/>
          </w:tcBorders>
          <w:shd w:val="clear" w:color="auto" w:fill="03485B"/>
        </w:tcPr>
        <w:p w14:paraId="716A7EED" w14:textId="63B2E24F" w:rsidR="00AB253B" w:rsidRPr="00AB253B" w:rsidRDefault="00AB253B" w:rsidP="00AB253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Times New Roman" w:cs="Arial"/>
              <w:b/>
              <w:color w:val="FFFFFF"/>
              <w:sz w:val="20"/>
              <w:szCs w:val="24"/>
              <w:lang w:eastAsia="en-AU"/>
            </w:rPr>
          </w:pP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fldChar w:fldCharType="begin"/>
          </w: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instrText xml:space="preserve"> PAGE   \* MERGEFORMAT </w:instrText>
          </w: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fldChar w:fldCharType="separate"/>
          </w:r>
          <w:r w:rsidR="00D604A4" w:rsidRPr="00D604A4">
            <w:rPr>
              <w:rFonts w:eastAsia="Times New Roman" w:cs="Arial"/>
              <w:b/>
              <w:noProof/>
              <w:color w:val="FFFFFF"/>
              <w:sz w:val="20"/>
              <w:szCs w:val="24"/>
              <w:lang w:eastAsia="en-AU"/>
            </w:rPr>
            <w:t>1</w:t>
          </w:r>
          <w:r w:rsidRPr="00AB253B">
            <w:rPr>
              <w:rFonts w:eastAsia="Times New Roman" w:cs="Arial"/>
              <w:b/>
              <w:noProof/>
              <w:color w:val="FFFFFF"/>
              <w:sz w:val="20"/>
              <w:szCs w:val="24"/>
              <w:lang w:eastAsia="en-AU"/>
            </w:rPr>
            <w:fldChar w:fldCharType="end"/>
          </w:r>
        </w:p>
      </w:tc>
    </w:tr>
  </w:tbl>
  <w:p w14:paraId="306DEB70" w14:textId="295208C1" w:rsidR="00A95330" w:rsidRDefault="00A95330" w:rsidP="00AB253B">
    <w:pPr>
      <w:tabs>
        <w:tab w:val="center" w:pos="4513"/>
        <w:tab w:val="left" w:pos="5059"/>
        <w:tab w:val="right" w:pos="9026"/>
      </w:tabs>
      <w:spacing w:after="0" w:line="240" w:lineRule="auto"/>
      <w:rPr>
        <w:rFonts w:eastAsia="Times New Roman" w:cs="Arial"/>
        <w:sz w:val="18"/>
        <w:szCs w:val="18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8820" w14:textId="77777777" w:rsidR="009B49DD" w:rsidRDefault="009B49DD" w:rsidP="00B04ED8">
      <w:pPr>
        <w:spacing w:after="0" w:line="240" w:lineRule="auto"/>
      </w:pPr>
      <w:r>
        <w:separator/>
      </w:r>
    </w:p>
  </w:footnote>
  <w:footnote w:type="continuationSeparator" w:id="0">
    <w:p w14:paraId="075E6946" w14:textId="77777777" w:rsidR="009B49DD" w:rsidRDefault="009B49D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E8C0" w14:textId="0D39E251" w:rsidR="00A309DB" w:rsidRPr="00A95330" w:rsidRDefault="009A0A41" w:rsidP="00A95330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FF55673" wp14:editId="1D3AAE8D">
          <wp:simplePos x="0" y="0"/>
          <wp:positionH relativeFrom="page">
            <wp:posOffset>-275894</wp:posOffset>
          </wp:positionH>
          <wp:positionV relativeFrom="paragraph">
            <wp:posOffset>0</wp:posOffset>
          </wp:positionV>
          <wp:extent cx="7998460" cy="1351280"/>
          <wp:effectExtent l="0" t="0" r="2540" b="1270"/>
          <wp:wrapTopAndBottom/>
          <wp:docPr id="3" name="Picture 3" descr="Blurred image of person's hand on laptop keyboard. The laptop screen has graphs on it." title="Data Exchange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X Header test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46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AB2"/>
    <w:multiLevelType w:val="multilevel"/>
    <w:tmpl w:val="D57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67FEF"/>
    <w:multiLevelType w:val="multilevel"/>
    <w:tmpl w:val="A46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B3AC2"/>
    <w:multiLevelType w:val="hybridMultilevel"/>
    <w:tmpl w:val="A3187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646AE"/>
    <w:multiLevelType w:val="multilevel"/>
    <w:tmpl w:val="861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E5AAC"/>
    <w:multiLevelType w:val="hybridMultilevel"/>
    <w:tmpl w:val="AA120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F"/>
    <w:rsid w:val="00004013"/>
    <w:rsid w:val="0000411F"/>
    <w:rsid w:val="00005633"/>
    <w:rsid w:val="00030DFE"/>
    <w:rsid w:val="000542D8"/>
    <w:rsid w:val="000656AC"/>
    <w:rsid w:val="0007771A"/>
    <w:rsid w:val="00093789"/>
    <w:rsid w:val="000D3E86"/>
    <w:rsid w:val="000D6DE5"/>
    <w:rsid w:val="000F3021"/>
    <w:rsid w:val="00114FD7"/>
    <w:rsid w:val="001202F4"/>
    <w:rsid w:val="0012572F"/>
    <w:rsid w:val="001778E3"/>
    <w:rsid w:val="00197C50"/>
    <w:rsid w:val="001B1410"/>
    <w:rsid w:val="001E630D"/>
    <w:rsid w:val="00243C26"/>
    <w:rsid w:val="00284DC9"/>
    <w:rsid w:val="0029124C"/>
    <w:rsid w:val="002A2B18"/>
    <w:rsid w:val="002B249D"/>
    <w:rsid w:val="003345D6"/>
    <w:rsid w:val="00363DBB"/>
    <w:rsid w:val="00382753"/>
    <w:rsid w:val="003B2BB8"/>
    <w:rsid w:val="003B4B4C"/>
    <w:rsid w:val="003D34FF"/>
    <w:rsid w:val="004062FE"/>
    <w:rsid w:val="004259D5"/>
    <w:rsid w:val="00431C84"/>
    <w:rsid w:val="00460868"/>
    <w:rsid w:val="00461989"/>
    <w:rsid w:val="00470CCC"/>
    <w:rsid w:val="004B54CA"/>
    <w:rsid w:val="004C3A49"/>
    <w:rsid w:val="004D1AD8"/>
    <w:rsid w:val="004E5CBF"/>
    <w:rsid w:val="004F0C24"/>
    <w:rsid w:val="00502F59"/>
    <w:rsid w:val="00551E09"/>
    <w:rsid w:val="005757CF"/>
    <w:rsid w:val="00593699"/>
    <w:rsid w:val="005A2276"/>
    <w:rsid w:val="005A2EA2"/>
    <w:rsid w:val="005A5370"/>
    <w:rsid w:val="005C3AA9"/>
    <w:rsid w:val="005E19FC"/>
    <w:rsid w:val="005F299E"/>
    <w:rsid w:val="005F76A5"/>
    <w:rsid w:val="00621FC5"/>
    <w:rsid w:val="006222BC"/>
    <w:rsid w:val="00627552"/>
    <w:rsid w:val="00637B02"/>
    <w:rsid w:val="00646633"/>
    <w:rsid w:val="00662193"/>
    <w:rsid w:val="006654B5"/>
    <w:rsid w:val="0066687D"/>
    <w:rsid w:val="00666AF1"/>
    <w:rsid w:val="00683A84"/>
    <w:rsid w:val="006A4CE7"/>
    <w:rsid w:val="006B2204"/>
    <w:rsid w:val="007056B3"/>
    <w:rsid w:val="007616FE"/>
    <w:rsid w:val="00785261"/>
    <w:rsid w:val="00792235"/>
    <w:rsid w:val="007A175D"/>
    <w:rsid w:val="007B0256"/>
    <w:rsid w:val="007B1CC1"/>
    <w:rsid w:val="007B1FDE"/>
    <w:rsid w:val="007C2FE1"/>
    <w:rsid w:val="007C7C50"/>
    <w:rsid w:val="007D767A"/>
    <w:rsid w:val="007F13BE"/>
    <w:rsid w:val="00827AD2"/>
    <w:rsid w:val="0083177B"/>
    <w:rsid w:val="00844560"/>
    <w:rsid w:val="008836AF"/>
    <w:rsid w:val="008D5FA4"/>
    <w:rsid w:val="00902C91"/>
    <w:rsid w:val="009225F0"/>
    <w:rsid w:val="0093462C"/>
    <w:rsid w:val="00953795"/>
    <w:rsid w:val="00967C90"/>
    <w:rsid w:val="00972815"/>
    <w:rsid w:val="00974189"/>
    <w:rsid w:val="00990EC3"/>
    <w:rsid w:val="009943C0"/>
    <w:rsid w:val="009A0A41"/>
    <w:rsid w:val="009B49DD"/>
    <w:rsid w:val="00A1787F"/>
    <w:rsid w:val="00A309DB"/>
    <w:rsid w:val="00A34203"/>
    <w:rsid w:val="00A4014C"/>
    <w:rsid w:val="00A60115"/>
    <w:rsid w:val="00A70DB4"/>
    <w:rsid w:val="00A85CF9"/>
    <w:rsid w:val="00A95330"/>
    <w:rsid w:val="00A96D1B"/>
    <w:rsid w:val="00AA386C"/>
    <w:rsid w:val="00AA4841"/>
    <w:rsid w:val="00AB253B"/>
    <w:rsid w:val="00AF552F"/>
    <w:rsid w:val="00B04ED8"/>
    <w:rsid w:val="00B612A1"/>
    <w:rsid w:val="00B7769C"/>
    <w:rsid w:val="00B91E3E"/>
    <w:rsid w:val="00BA2DB9"/>
    <w:rsid w:val="00BB61BB"/>
    <w:rsid w:val="00BC0B8E"/>
    <w:rsid w:val="00BE7148"/>
    <w:rsid w:val="00C04341"/>
    <w:rsid w:val="00C17BC2"/>
    <w:rsid w:val="00C602A0"/>
    <w:rsid w:val="00C67D32"/>
    <w:rsid w:val="00C84DD7"/>
    <w:rsid w:val="00CA26D8"/>
    <w:rsid w:val="00CB5863"/>
    <w:rsid w:val="00CC5090"/>
    <w:rsid w:val="00CD3941"/>
    <w:rsid w:val="00CF40BA"/>
    <w:rsid w:val="00D221D7"/>
    <w:rsid w:val="00D41FD1"/>
    <w:rsid w:val="00D537A2"/>
    <w:rsid w:val="00D541C7"/>
    <w:rsid w:val="00D604A4"/>
    <w:rsid w:val="00D850CA"/>
    <w:rsid w:val="00D87ECC"/>
    <w:rsid w:val="00DA243A"/>
    <w:rsid w:val="00DE0529"/>
    <w:rsid w:val="00DF41E2"/>
    <w:rsid w:val="00E04509"/>
    <w:rsid w:val="00E10BA9"/>
    <w:rsid w:val="00E273E4"/>
    <w:rsid w:val="00E31073"/>
    <w:rsid w:val="00E313D5"/>
    <w:rsid w:val="00E51EEE"/>
    <w:rsid w:val="00E5260A"/>
    <w:rsid w:val="00E526EA"/>
    <w:rsid w:val="00E87640"/>
    <w:rsid w:val="00E9224F"/>
    <w:rsid w:val="00EA109A"/>
    <w:rsid w:val="00F20289"/>
    <w:rsid w:val="00F26085"/>
    <w:rsid w:val="00F30AFE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509A"/>
  <w15:chartTrackingRefBased/>
  <w15:docId w15:val="{B35C90C3-8583-41CD-8B94-7BD9EF3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DEX 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aliases w:val="DEX 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57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6AF1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B1FDE"/>
    <w:rPr>
      <w:color w:val="800080" w:themeColor="followedHyperlink"/>
      <w:u w:val="single"/>
    </w:rPr>
  </w:style>
  <w:style w:type="paragraph" w:customStyle="1" w:styleId="DEXHeading1">
    <w:name w:val="DEX Heading1"/>
    <w:basedOn w:val="Normal"/>
    <w:next w:val="Normal"/>
    <w:link w:val="DEXHeading1Char"/>
    <w:qFormat/>
    <w:rsid w:val="00AB253B"/>
    <w:pPr>
      <w:keepNext/>
      <w:keepLines/>
      <w:spacing w:before="400" w:after="40" w:line="240" w:lineRule="auto"/>
    </w:pPr>
    <w:rPr>
      <w:rFonts w:ascii="Georgia" w:hAnsi="Georgia"/>
      <w:b/>
      <w:bCs/>
      <w:color w:val="215868" w:themeColor="accent5" w:themeShade="80"/>
      <w:sz w:val="52"/>
      <w:szCs w:val="36"/>
    </w:rPr>
  </w:style>
  <w:style w:type="character" w:customStyle="1" w:styleId="DEXHeading1Char">
    <w:name w:val="DEX Heading1 Char"/>
    <w:basedOn w:val="DefaultParagraphFont"/>
    <w:link w:val="DEXHeading1"/>
    <w:rsid w:val="00AB253B"/>
    <w:rPr>
      <w:rFonts w:ascii="Georgia" w:hAnsi="Georgia"/>
      <w:b/>
      <w:bCs/>
      <w:color w:val="215868" w:themeColor="accent5" w:themeShade="80"/>
      <w:sz w:val="5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x.dss.gov.au/document/6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x.dss.gov.au/document/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x.dss.gov.au/document/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x.dss.gov.au/document/13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EEF0-E069-4555-97BD-D80E45B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3823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>[SEC=OFFICIAL]</cp:keywords>
  <dc:description/>
  <cp:lastModifiedBy>MOSEY, Sebastian</cp:lastModifiedBy>
  <cp:revision>7</cp:revision>
  <cp:lastPrinted>2019-08-27T04:51:00Z</cp:lastPrinted>
  <dcterms:created xsi:type="dcterms:W3CDTF">2022-09-18T23:25:00Z</dcterms:created>
  <dcterms:modified xsi:type="dcterms:W3CDTF">2022-09-26T06:03:00Z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WSFooter">
    <vt:lpwstr>33880706</vt:lpwstr>
  </property>
  <property fmtid="{D5CDD505-2E9C-101B-9397-08002B2CF9AE}" pid="6" name="PM_ProtectiveMarkingImage_Header">
    <vt:lpwstr>C:\Program Files (x86)\Common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OFFICIAL</vt:lpwstr>
  </property>
  <property fmtid="{D5CDD505-2E9C-101B-9397-08002B2CF9AE}" pid="9" name="PM_Qualifier">
    <vt:lpwstr/>
  </property>
  <property fmtid="{D5CDD505-2E9C-101B-9397-08002B2CF9AE}" pid="10" name="PM_SecurityClassification">
    <vt:lpwstr>OFFICIAL</vt:lpwstr>
  </property>
  <property fmtid="{D5CDD505-2E9C-101B-9397-08002B2CF9AE}" pid="11" name="PM_InsertionValue">
    <vt:lpwstr>OFFICIAL</vt:lpwstr>
  </property>
  <property fmtid="{D5CDD505-2E9C-101B-9397-08002B2CF9AE}" pid="12" name="PM_Originating_FileId">
    <vt:lpwstr>202460E0875342D792119BFBD67796BF</vt:lpwstr>
  </property>
  <property fmtid="{D5CDD505-2E9C-101B-9397-08002B2CF9AE}" pid="13" name="PM_ProtectiveMarkingValue_Footer">
    <vt:lpwstr>OFFICIAL</vt:lpwstr>
  </property>
  <property fmtid="{D5CDD505-2E9C-101B-9397-08002B2CF9AE}" pid="14" name="PM_Originator_Hash_SHA1">
    <vt:lpwstr>13D90CD75047C6DFF742A7C811C9AF211CB56528</vt:lpwstr>
  </property>
  <property fmtid="{D5CDD505-2E9C-101B-9397-08002B2CF9AE}" pid="15" name="PM_OriginationTimeStamp">
    <vt:lpwstr>2022-09-26T06:03:11Z</vt:lpwstr>
  </property>
  <property fmtid="{D5CDD505-2E9C-101B-9397-08002B2CF9AE}" pid="16" name="PM_ProtectiveMarkingValue_Header">
    <vt:lpwstr>OFFICIAL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Display">
    <vt:lpwstr>OFFICIAL</vt:lpwstr>
  </property>
  <property fmtid="{D5CDD505-2E9C-101B-9397-08002B2CF9AE}" pid="23" name="PM_Hash_Version">
    <vt:lpwstr>2018.0</vt:lpwstr>
  </property>
  <property fmtid="{D5CDD505-2E9C-101B-9397-08002B2CF9AE}" pid="24" name="PM_Hash_Salt_Prev">
    <vt:lpwstr>0D53A3EE5F920C1391EC3D8803C31B4D</vt:lpwstr>
  </property>
  <property fmtid="{D5CDD505-2E9C-101B-9397-08002B2CF9AE}" pid="25" name="PM_Hash_Salt">
    <vt:lpwstr>9558D337D019E3ADF34E12E7CAAD155C</vt:lpwstr>
  </property>
  <property fmtid="{D5CDD505-2E9C-101B-9397-08002B2CF9AE}" pid="26" name="PM_Hash_SHA1">
    <vt:lpwstr>1B7AC3C89020E1CE3F0709E66479612AFE55ED7E</vt:lpwstr>
  </property>
  <property fmtid="{D5CDD505-2E9C-101B-9397-08002B2CF9AE}" pid="27" name="PM_OriginatorUserAccountName_SHA256">
    <vt:lpwstr>CB0D8379D48BB1B6CCD0DF20837B57CA96F9E9F926A460D73D10688B808E7AA4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_MinimumSecurityClassification">
    <vt:lpwstr/>
  </property>
  <property fmtid="{D5CDD505-2E9C-101B-9397-08002B2CF9AE}" pid="30" name="PM_SecurityClassification_Prev">
    <vt:lpwstr>OFFICIAL</vt:lpwstr>
  </property>
  <property fmtid="{D5CDD505-2E9C-101B-9397-08002B2CF9AE}" pid="31" name="PM_Qualifier_Prev">
    <vt:lpwstr/>
  </property>
</Properties>
</file>