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7B0256" w:rsidP="00CC3A3C">
      <w:pPr>
        <w:ind w:left="1134"/>
      </w:pPr>
    </w:p>
    <w:p w:rsidR="00CC3A3C" w:rsidRDefault="00CC3A3C" w:rsidP="00CC3A3C">
      <w:pPr>
        <w:widowControl w:val="0"/>
        <w:spacing w:before="120" w:after="120" w:line="240" w:lineRule="auto"/>
        <w:ind w:left="1134"/>
      </w:pPr>
      <w:r w:rsidRPr="00CC3A3C">
        <w:rPr>
          <w:rFonts w:hAnsiTheme="minorHAnsi"/>
          <w:noProof/>
          <w:color w:val="005568"/>
          <w:spacing w:val="-4"/>
          <w:sz w:val="44"/>
          <w:lang w:eastAsia="en-AU"/>
        </w:rPr>
        <w:t>Data Exchange Snapshot: January 2021</w:t>
      </w:r>
    </w:p>
    <w:p w:rsidR="00CC3A3C" w:rsidRDefault="00CC3A3C" w:rsidP="00CC3A3C">
      <w:pPr>
        <w:ind w:left="1134"/>
      </w:pPr>
    </w:p>
    <w:p w:rsidR="00CC3A3C" w:rsidRDefault="00CC3A3C" w:rsidP="00CC3A3C">
      <w:pPr>
        <w:widowControl w:val="0"/>
        <w:spacing w:after="0" w:line="240" w:lineRule="auto"/>
        <w:ind w:left="1134"/>
        <w:jc w:val="both"/>
        <w:rPr>
          <w:rFonts w:cs="Arial"/>
          <w:sz w:val="24"/>
          <w:szCs w:val="24"/>
          <w:lang w:val="en-US"/>
        </w:rPr>
      </w:pPr>
      <w:r w:rsidRPr="00CC3A3C">
        <w:rPr>
          <w:rFonts w:cs="Arial"/>
          <w:sz w:val="24"/>
          <w:szCs w:val="24"/>
          <w:lang w:val="en-US"/>
        </w:rPr>
        <w:t>The Data Exchange is the two-way sharing of data information between agencies and organisations. This data helps them find smarter and more efficient ways of improving service delivery and understanding the outcomes being achieved for vulnerable individuals, families and their communities.</w:t>
      </w:r>
    </w:p>
    <w:p w:rsidR="00CC3A3C" w:rsidRPr="00CC3A3C" w:rsidRDefault="00CC3A3C" w:rsidP="00CC3A3C">
      <w:pPr>
        <w:widowControl w:val="0"/>
        <w:spacing w:after="0" w:line="240" w:lineRule="auto"/>
        <w:ind w:left="1134"/>
        <w:jc w:val="both"/>
        <w:rPr>
          <w:rFonts w:cs="Arial"/>
          <w:sz w:val="24"/>
          <w:szCs w:val="24"/>
          <w:lang w:val="en-US"/>
        </w:rPr>
      </w:pPr>
      <w:r w:rsidRPr="00CC3A3C">
        <w:rPr>
          <w:rFonts w:cs="Arial"/>
          <w:sz w:val="24"/>
          <w:szCs w:val="24"/>
          <w:lang w:val="en-US"/>
        </w:rPr>
        <w:t xml:space="preserve"> </w:t>
      </w:r>
    </w:p>
    <w:p w:rsidR="00CC3A3C" w:rsidRDefault="00CC3A3C" w:rsidP="00CC3A3C">
      <w:pPr>
        <w:widowControl w:val="0"/>
        <w:spacing w:after="0" w:line="240" w:lineRule="auto"/>
        <w:ind w:left="1134"/>
        <w:jc w:val="both"/>
        <w:rPr>
          <w:rFonts w:cs="Arial"/>
          <w:sz w:val="24"/>
          <w:szCs w:val="24"/>
          <w:lang w:val="en-US"/>
        </w:rPr>
      </w:pPr>
      <w:r w:rsidRPr="00CC3A3C">
        <w:rPr>
          <w:rFonts w:cs="Arial"/>
          <w:sz w:val="24"/>
          <w:szCs w:val="24"/>
          <w:lang w:val="en-US"/>
        </w:rPr>
        <w:t>The Data Exchange continuously works to achieve the most streamlined reporting arrangement that captures meaningful client, service, and outcomes data.</w:t>
      </w:r>
    </w:p>
    <w:p w:rsidR="00CC3A3C" w:rsidRPr="00CC3A3C" w:rsidRDefault="00CC3A3C" w:rsidP="00CC3A3C">
      <w:pPr>
        <w:widowControl w:val="0"/>
        <w:spacing w:after="0" w:line="240" w:lineRule="auto"/>
        <w:ind w:left="1134"/>
        <w:jc w:val="both"/>
        <w:rPr>
          <w:rFonts w:cs="Arial"/>
          <w:sz w:val="24"/>
          <w:szCs w:val="24"/>
          <w:lang w:val="en-US"/>
        </w:rPr>
      </w:pPr>
      <w:r w:rsidRPr="00CC3A3C">
        <w:rPr>
          <w:rFonts w:cs="Arial"/>
          <w:sz w:val="24"/>
          <w:szCs w:val="24"/>
          <w:lang w:val="en-US"/>
        </w:rPr>
        <w:t xml:space="preserve"> </w:t>
      </w:r>
    </w:p>
    <w:p w:rsidR="00CC3A3C" w:rsidRPr="00CC3A3C" w:rsidRDefault="00CC3A3C" w:rsidP="00CC3A3C">
      <w:pPr>
        <w:widowControl w:val="0"/>
        <w:spacing w:after="0" w:line="240" w:lineRule="auto"/>
        <w:ind w:left="1134"/>
        <w:jc w:val="both"/>
        <w:rPr>
          <w:rFonts w:cs="Arial"/>
          <w:sz w:val="24"/>
          <w:szCs w:val="24"/>
          <w:lang w:val="en-US"/>
        </w:rPr>
      </w:pPr>
      <w:r w:rsidRPr="00CC3A3C">
        <w:rPr>
          <w:rFonts w:cs="Arial"/>
          <w:sz w:val="24"/>
          <w:szCs w:val="24"/>
          <w:lang w:val="en-US"/>
        </w:rPr>
        <w:t>Throughout the previous reporting periods, the Data Exchange has seen a number of organisations joining its platform and numerous system enhancements.</w:t>
      </w:r>
    </w:p>
    <w:p w:rsidR="00CC3A3C" w:rsidRPr="00CC3A3C" w:rsidRDefault="00CC3A3C" w:rsidP="00CC3A3C">
      <w:pPr>
        <w:widowControl w:val="0"/>
        <w:spacing w:after="0" w:line="240" w:lineRule="auto"/>
        <w:ind w:left="1134"/>
        <w:jc w:val="both"/>
        <w:rPr>
          <w:sz w:val="24"/>
        </w:rPr>
      </w:pPr>
    </w:p>
    <w:p w:rsidR="00CC3A3C" w:rsidRPr="00CC3A3C" w:rsidRDefault="00CC3A3C" w:rsidP="00CC3A3C">
      <w:pPr>
        <w:pStyle w:val="Pa0"/>
        <w:ind w:left="1134"/>
        <w:rPr>
          <w:noProof/>
          <w:color w:val="005568"/>
          <w:spacing w:val="-4"/>
          <w:sz w:val="32"/>
          <w:szCs w:val="36"/>
          <w:lang w:eastAsia="en-AU"/>
        </w:rPr>
      </w:pPr>
      <w:r w:rsidRPr="00CC3A3C">
        <w:rPr>
          <w:noProof/>
          <w:color w:val="005568"/>
          <w:spacing w:val="-4"/>
          <w:sz w:val="32"/>
          <w:szCs w:val="36"/>
          <w:lang w:eastAsia="en-AU"/>
        </w:rPr>
        <w:t xml:space="preserve">As of January 2021: </w:t>
      </w:r>
    </w:p>
    <w:p w:rsidR="00CC3A3C" w:rsidRPr="00CC3A3C" w:rsidRDefault="00CC3A3C" w:rsidP="00CC3A3C">
      <w:pPr>
        <w:widowControl w:val="0"/>
        <w:spacing w:after="0" w:line="240" w:lineRule="auto"/>
        <w:ind w:left="1134"/>
        <w:jc w:val="both"/>
        <w:rPr>
          <w:sz w:val="24"/>
        </w:rPr>
      </w:pPr>
    </w:p>
    <w:p w:rsidR="00CC3A3C" w:rsidRPr="00CC3A3C" w:rsidRDefault="00CC3A3C" w:rsidP="00CC3A3C">
      <w:pPr>
        <w:pStyle w:val="Pa0"/>
        <w:ind w:left="1843" w:hanging="360"/>
        <w:rPr>
          <w:noProof/>
          <w:spacing w:val="-4"/>
          <w:lang w:eastAsia="en-AU"/>
        </w:rPr>
      </w:pPr>
      <w:r w:rsidRPr="00CC3A3C">
        <w:rPr>
          <w:b/>
          <w:noProof/>
          <w:spacing w:val="-4"/>
          <w:sz w:val="28"/>
          <w:lang w:eastAsia="en-AU"/>
        </w:rPr>
        <w:t>•</w:t>
      </w:r>
      <w:r w:rsidRPr="00CC3A3C">
        <w:rPr>
          <w:b/>
          <w:noProof/>
          <w:spacing w:val="-4"/>
          <w:sz w:val="28"/>
          <w:lang w:eastAsia="en-AU"/>
        </w:rPr>
        <w:tab/>
      </w:r>
      <w:r w:rsidRPr="002B429F">
        <w:rPr>
          <w:rFonts w:hAnsiTheme="minorHAnsi" w:cstheme="minorBidi"/>
          <w:b/>
          <w:noProof/>
          <w:color w:val="005568"/>
          <w:spacing w:val="-4"/>
          <w:sz w:val="28"/>
          <w:szCs w:val="22"/>
          <w:lang w:eastAsia="en-AU"/>
        </w:rPr>
        <w:t>3,067</w:t>
      </w:r>
      <w:r w:rsidRPr="00CC3A3C">
        <w:rPr>
          <w:b/>
          <w:noProof/>
          <w:spacing w:val="-4"/>
          <w:sz w:val="28"/>
          <w:lang w:eastAsia="en-AU"/>
        </w:rPr>
        <w:t xml:space="preserve"> </w:t>
      </w:r>
      <w:r w:rsidRPr="00CC3A3C">
        <w:rPr>
          <w:noProof/>
          <w:spacing w:val="-4"/>
          <w:lang w:eastAsia="en-AU"/>
        </w:rPr>
        <w:t>organisations are currently registered in the Data Exchange</w:t>
      </w:r>
    </w:p>
    <w:p w:rsidR="00CC3A3C" w:rsidRPr="00CC3A3C" w:rsidRDefault="00CC3A3C" w:rsidP="00CC3A3C">
      <w:pPr>
        <w:widowControl w:val="0"/>
        <w:spacing w:after="0" w:line="240" w:lineRule="auto"/>
        <w:ind w:left="1134"/>
        <w:jc w:val="both"/>
        <w:rPr>
          <w:sz w:val="24"/>
        </w:rPr>
      </w:pPr>
    </w:p>
    <w:p w:rsidR="00CC3A3C" w:rsidRPr="00CC3A3C" w:rsidRDefault="00CC3A3C" w:rsidP="00CC3A3C">
      <w:pPr>
        <w:pStyle w:val="Pa0"/>
        <w:ind w:left="1843" w:hanging="360"/>
        <w:rPr>
          <w:noProof/>
          <w:spacing w:val="-4"/>
          <w:lang w:eastAsia="en-AU"/>
        </w:rPr>
      </w:pPr>
      <w:r w:rsidRPr="00CC3A3C">
        <w:rPr>
          <w:b/>
          <w:noProof/>
          <w:spacing w:val="-4"/>
          <w:sz w:val="28"/>
          <w:lang w:eastAsia="en-AU"/>
        </w:rPr>
        <w:t>•</w:t>
      </w:r>
      <w:r w:rsidRPr="00CC3A3C">
        <w:rPr>
          <w:b/>
          <w:noProof/>
          <w:spacing w:val="-4"/>
          <w:sz w:val="28"/>
          <w:lang w:eastAsia="en-AU"/>
        </w:rPr>
        <w:tab/>
      </w:r>
      <w:r w:rsidRPr="002B429F">
        <w:rPr>
          <w:rFonts w:hAnsiTheme="minorHAnsi" w:cstheme="minorBidi"/>
          <w:b/>
          <w:noProof/>
          <w:color w:val="005568"/>
          <w:spacing w:val="-4"/>
          <w:sz w:val="28"/>
          <w:szCs w:val="22"/>
          <w:lang w:eastAsia="en-AU"/>
        </w:rPr>
        <w:t>15,990</w:t>
      </w:r>
      <w:r w:rsidRPr="00CC3A3C">
        <w:rPr>
          <w:b/>
          <w:noProof/>
          <w:spacing w:val="-4"/>
          <w:sz w:val="28"/>
          <w:lang w:eastAsia="en-AU"/>
        </w:rPr>
        <w:t xml:space="preserve"> </w:t>
      </w:r>
      <w:r w:rsidRPr="00CC3A3C">
        <w:rPr>
          <w:noProof/>
          <w:spacing w:val="-4"/>
          <w:lang w:eastAsia="en-AU"/>
        </w:rPr>
        <w:t>users currently registered in the Data Exchange</w:t>
      </w:r>
    </w:p>
    <w:p w:rsidR="00CC3A3C" w:rsidRPr="00CC3A3C" w:rsidRDefault="00CC3A3C" w:rsidP="00CC3A3C">
      <w:pPr>
        <w:pStyle w:val="Pa0"/>
        <w:ind w:left="1843" w:hanging="360"/>
        <w:rPr>
          <w:b/>
          <w:noProof/>
          <w:spacing w:val="-4"/>
          <w:lang w:eastAsia="en-AU"/>
        </w:rPr>
      </w:pPr>
    </w:p>
    <w:p w:rsidR="00CC3A3C" w:rsidRPr="00CC3A3C" w:rsidRDefault="00CC3A3C" w:rsidP="00CC3A3C">
      <w:pPr>
        <w:pStyle w:val="Pa0"/>
        <w:ind w:left="1843" w:hanging="360"/>
        <w:rPr>
          <w:b/>
          <w:noProof/>
          <w:spacing w:val="-4"/>
          <w:sz w:val="28"/>
          <w:lang w:eastAsia="en-AU"/>
        </w:rPr>
      </w:pPr>
      <w:r w:rsidRPr="00CC3A3C">
        <w:rPr>
          <w:b/>
          <w:noProof/>
          <w:spacing w:val="-4"/>
          <w:sz w:val="28"/>
          <w:lang w:eastAsia="en-AU"/>
        </w:rPr>
        <w:t>•</w:t>
      </w:r>
      <w:r w:rsidRPr="00CC3A3C">
        <w:rPr>
          <w:b/>
          <w:noProof/>
          <w:spacing w:val="-4"/>
          <w:sz w:val="28"/>
          <w:lang w:eastAsia="en-AU"/>
        </w:rPr>
        <w:tab/>
      </w:r>
      <w:r w:rsidRPr="002B429F">
        <w:rPr>
          <w:rFonts w:hAnsiTheme="minorHAnsi" w:cstheme="minorBidi"/>
          <w:b/>
          <w:noProof/>
          <w:color w:val="005568"/>
          <w:spacing w:val="-4"/>
          <w:sz w:val="28"/>
          <w:szCs w:val="22"/>
          <w:lang w:eastAsia="en-AU"/>
        </w:rPr>
        <w:t>6</w:t>
      </w:r>
      <w:r w:rsidRPr="00CC3A3C">
        <w:rPr>
          <w:b/>
          <w:noProof/>
          <w:spacing w:val="-4"/>
          <w:sz w:val="28"/>
          <w:lang w:eastAsia="en-AU"/>
        </w:rPr>
        <w:t xml:space="preserve"> </w:t>
      </w:r>
      <w:r w:rsidRPr="00CC3A3C">
        <w:rPr>
          <w:noProof/>
          <w:spacing w:val="-4"/>
          <w:lang w:eastAsia="en-AU"/>
        </w:rPr>
        <w:t>agencies are using the Data Exchange as a reporting tool for 75 programs</w:t>
      </w:r>
    </w:p>
    <w:p w:rsidR="00CC3A3C" w:rsidRPr="00CC3A3C" w:rsidRDefault="00CC3A3C" w:rsidP="00CC3A3C">
      <w:pPr>
        <w:pStyle w:val="Pa0"/>
        <w:ind w:left="1843" w:hanging="360"/>
        <w:rPr>
          <w:b/>
          <w:noProof/>
          <w:spacing w:val="-4"/>
          <w:lang w:eastAsia="en-AU"/>
        </w:rPr>
      </w:pPr>
    </w:p>
    <w:p w:rsidR="00CC3A3C" w:rsidRPr="00CC3A3C" w:rsidRDefault="00CC3A3C" w:rsidP="00CC3A3C">
      <w:pPr>
        <w:pStyle w:val="Pa0"/>
        <w:ind w:left="1843" w:hanging="360"/>
        <w:rPr>
          <w:b/>
          <w:noProof/>
          <w:spacing w:val="-4"/>
          <w:sz w:val="28"/>
          <w:lang w:eastAsia="en-AU"/>
        </w:rPr>
      </w:pPr>
      <w:r w:rsidRPr="00CC3A3C">
        <w:rPr>
          <w:b/>
          <w:noProof/>
          <w:spacing w:val="-4"/>
          <w:sz w:val="28"/>
          <w:lang w:eastAsia="en-AU"/>
        </w:rPr>
        <w:t>•</w:t>
      </w:r>
      <w:r w:rsidRPr="00CC3A3C">
        <w:rPr>
          <w:b/>
          <w:noProof/>
          <w:spacing w:val="-4"/>
          <w:sz w:val="28"/>
          <w:lang w:eastAsia="en-AU"/>
        </w:rPr>
        <w:tab/>
      </w:r>
      <w:r w:rsidRPr="002B429F">
        <w:rPr>
          <w:rFonts w:hAnsiTheme="minorHAnsi" w:cstheme="minorBidi"/>
          <w:b/>
          <w:noProof/>
          <w:color w:val="005568"/>
          <w:spacing w:val="-4"/>
          <w:sz w:val="28"/>
          <w:szCs w:val="22"/>
          <w:lang w:eastAsia="en-AU"/>
        </w:rPr>
        <w:t>1,081</w:t>
      </w:r>
      <w:r w:rsidRPr="00CC3A3C">
        <w:rPr>
          <w:b/>
          <w:noProof/>
          <w:spacing w:val="-4"/>
          <w:sz w:val="28"/>
          <w:lang w:eastAsia="en-AU"/>
        </w:rPr>
        <w:t xml:space="preserve"> </w:t>
      </w:r>
      <w:r w:rsidRPr="00CC3A3C">
        <w:rPr>
          <w:noProof/>
          <w:spacing w:val="-4"/>
          <w:lang w:eastAsia="en-AU"/>
        </w:rPr>
        <w:t xml:space="preserve">organisations are reporting outcomes data </w:t>
      </w:r>
    </w:p>
    <w:p w:rsidR="00CC3A3C" w:rsidRPr="00CC3A3C" w:rsidRDefault="00CC3A3C" w:rsidP="00CC3A3C">
      <w:pPr>
        <w:pStyle w:val="Pa0"/>
        <w:ind w:left="1843" w:hanging="360"/>
        <w:rPr>
          <w:b/>
          <w:noProof/>
          <w:spacing w:val="-4"/>
          <w:lang w:eastAsia="en-AU"/>
        </w:rPr>
      </w:pPr>
    </w:p>
    <w:p w:rsidR="00CC3A3C" w:rsidRPr="00CC3A3C" w:rsidRDefault="00CC3A3C" w:rsidP="00CC3A3C">
      <w:pPr>
        <w:pStyle w:val="Pa0"/>
        <w:ind w:left="1843" w:hanging="360"/>
        <w:rPr>
          <w:b/>
          <w:noProof/>
          <w:spacing w:val="-4"/>
          <w:sz w:val="28"/>
          <w:lang w:eastAsia="en-AU"/>
        </w:rPr>
      </w:pPr>
      <w:r w:rsidRPr="00CC3A3C">
        <w:rPr>
          <w:b/>
          <w:noProof/>
          <w:spacing w:val="-4"/>
          <w:sz w:val="28"/>
          <w:lang w:eastAsia="en-AU"/>
        </w:rPr>
        <w:t>•</w:t>
      </w:r>
      <w:r w:rsidRPr="00CC3A3C">
        <w:rPr>
          <w:b/>
          <w:noProof/>
          <w:spacing w:val="-4"/>
          <w:sz w:val="28"/>
          <w:lang w:eastAsia="en-AU"/>
        </w:rPr>
        <w:tab/>
      </w:r>
      <w:r w:rsidRPr="002B429F">
        <w:rPr>
          <w:rFonts w:hAnsiTheme="minorHAnsi" w:cstheme="minorBidi"/>
          <w:b/>
          <w:noProof/>
          <w:color w:val="005568"/>
          <w:spacing w:val="-4"/>
          <w:sz w:val="28"/>
          <w:szCs w:val="22"/>
          <w:lang w:eastAsia="en-AU"/>
        </w:rPr>
        <w:t>618</w:t>
      </w:r>
      <w:r w:rsidRPr="00CC3A3C">
        <w:rPr>
          <w:b/>
          <w:noProof/>
          <w:spacing w:val="-4"/>
          <w:sz w:val="28"/>
          <w:lang w:eastAsia="en-AU"/>
        </w:rPr>
        <w:t xml:space="preserve"> </w:t>
      </w:r>
      <w:r w:rsidRPr="00CC3A3C">
        <w:rPr>
          <w:noProof/>
          <w:spacing w:val="-4"/>
          <w:lang w:eastAsia="en-AU"/>
        </w:rPr>
        <w:t>‘handshake’ agreements have been made between lead organisations and their delivery partners to share de-identified aggregate level reports data.</w:t>
      </w:r>
    </w:p>
    <w:p w:rsidR="00CC3A3C" w:rsidRPr="00CC3A3C" w:rsidRDefault="00CC3A3C" w:rsidP="00CC3A3C">
      <w:pPr>
        <w:widowControl w:val="0"/>
        <w:spacing w:after="0" w:line="240" w:lineRule="auto"/>
        <w:ind w:left="1134"/>
        <w:jc w:val="both"/>
        <w:rPr>
          <w:sz w:val="24"/>
        </w:rPr>
      </w:pPr>
    </w:p>
    <w:p w:rsidR="00CC3A3C" w:rsidRPr="00CC3A3C" w:rsidRDefault="00CC3A3C" w:rsidP="00CC3A3C">
      <w:pPr>
        <w:pStyle w:val="Pa0"/>
        <w:ind w:left="1134"/>
        <w:rPr>
          <w:noProof/>
          <w:color w:val="005568"/>
          <w:spacing w:val="-4"/>
          <w:sz w:val="32"/>
          <w:szCs w:val="36"/>
          <w:lang w:eastAsia="en-AU"/>
        </w:rPr>
      </w:pPr>
      <w:r w:rsidRPr="00CC3A3C">
        <w:rPr>
          <w:noProof/>
          <w:color w:val="005568"/>
          <w:spacing w:val="-4"/>
          <w:sz w:val="32"/>
          <w:szCs w:val="36"/>
          <w:lang w:eastAsia="en-AU"/>
        </w:rPr>
        <w:t>During the previous 12 months:</w:t>
      </w:r>
    </w:p>
    <w:p w:rsidR="00CC3A3C" w:rsidRPr="00CC3A3C" w:rsidRDefault="00CC3A3C" w:rsidP="000B502E">
      <w:pPr>
        <w:widowControl w:val="0"/>
        <w:spacing w:after="0" w:line="240" w:lineRule="auto"/>
        <w:ind w:left="1134"/>
        <w:jc w:val="both"/>
        <w:rPr>
          <w:sz w:val="24"/>
        </w:rPr>
      </w:pPr>
    </w:p>
    <w:p w:rsidR="00CC3A3C" w:rsidRPr="00CC3A3C" w:rsidRDefault="00CC3A3C" w:rsidP="00CC3A3C">
      <w:pPr>
        <w:pStyle w:val="Pa0"/>
        <w:ind w:left="1843" w:hanging="360"/>
        <w:rPr>
          <w:noProof/>
          <w:spacing w:val="-4"/>
          <w:lang w:eastAsia="en-AU"/>
        </w:rPr>
      </w:pPr>
      <w:r w:rsidRPr="00CC3A3C">
        <w:rPr>
          <w:b/>
          <w:noProof/>
          <w:spacing w:val="-4"/>
          <w:sz w:val="28"/>
          <w:lang w:eastAsia="en-AU"/>
        </w:rPr>
        <w:t>•</w:t>
      </w:r>
      <w:r w:rsidRPr="00CC3A3C">
        <w:rPr>
          <w:b/>
          <w:noProof/>
          <w:spacing w:val="-4"/>
          <w:sz w:val="28"/>
          <w:lang w:eastAsia="en-AU"/>
        </w:rPr>
        <w:tab/>
      </w:r>
      <w:r w:rsidRPr="002B429F">
        <w:rPr>
          <w:rFonts w:hAnsiTheme="minorHAnsi" w:cstheme="minorBidi"/>
          <w:b/>
          <w:noProof/>
          <w:color w:val="005568"/>
          <w:spacing w:val="-4"/>
          <w:sz w:val="28"/>
          <w:szCs w:val="22"/>
          <w:lang w:eastAsia="en-AU"/>
        </w:rPr>
        <w:t>1,688</w:t>
      </w:r>
      <w:r w:rsidRPr="00CC3A3C">
        <w:rPr>
          <w:b/>
          <w:noProof/>
          <w:spacing w:val="-4"/>
          <w:sz w:val="28"/>
          <w:lang w:eastAsia="en-AU"/>
        </w:rPr>
        <w:t xml:space="preserve"> </w:t>
      </w:r>
      <w:r w:rsidRPr="00CC3A3C">
        <w:rPr>
          <w:noProof/>
          <w:spacing w:val="-4"/>
          <w:lang w:eastAsia="en-AU"/>
        </w:rPr>
        <w:t xml:space="preserve">users accessed a Data Exchange report for the first time. </w:t>
      </w:r>
    </w:p>
    <w:p w:rsidR="00CC3A3C" w:rsidRPr="00CC3A3C" w:rsidRDefault="00CC3A3C" w:rsidP="00CC3A3C">
      <w:pPr>
        <w:pStyle w:val="Pa0"/>
        <w:ind w:left="1843" w:hanging="360"/>
        <w:rPr>
          <w:b/>
          <w:noProof/>
          <w:spacing w:val="-4"/>
          <w:lang w:eastAsia="en-AU"/>
        </w:rPr>
      </w:pPr>
    </w:p>
    <w:p w:rsidR="00CC3A3C" w:rsidRPr="00CC3A3C" w:rsidRDefault="00CC3A3C" w:rsidP="00CC3A3C">
      <w:pPr>
        <w:pStyle w:val="Pa0"/>
        <w:ind w:left="1843" w:hanging="360"/>
        <w:rPr>
          <w:b/>
          <w:noProof/>
          <w:spacing w:val="-4"/>
          <w:sz w:val="28"/>
          <w:lang w:eastAsia="en-AU"/>
        </w:rPr>
      </w:pPr>
      <w:r w:rsidRPr="00CC3A3C">
        <w:rPr>
          <w:b/>
          <w:noProof/>
          <w:spacing w:val="-4"/>
          <w:sz w:val="28"/>
          <w:lang w:eastAsia="en-AU"/>
        </w:rPr>
        <w:t>•</w:t>
      </w:r>
      <w:r w:rsidRPr="00CC3A3C">
        <w:rPr>
          <w:b/>
          <w:noProof/>
          <w:spacing w:val="-4"/>
          <w:sz w:val="28"/>
          <w:lang w:eastAsia="en-AU"/>
        </w:rPr>
        <w:tab/>
      </w:r>
      <w:r w:rsidRPr="00CC3A3C">
        <w:rPr>
          <w:noProof/>
          <w:spacing w:val="-4"/>
          <w:lang w:eastAsia="en-AU"/>
        </w:rPr>
        <w:t xml:space="preserve">A new </w:t>
      </w:r>
      <w:r w:rsidRPr="002B429F">
        <w:rPr>
          <w:noProof/>
          <w:spacing w:val="-4"/>
          <w:lang w:eastAsia="en-AU"/>
        </w:rPr>
        <w:t>report,</w:t>
      </w:r>
      <w:r w:rsidRPr="002B429F">
        <w:rPr>
          <w:b/>
          <w:noProof/>
          <w:spacing w:val="-4"/>
          <w:lang w:eastAsia="en-AU"/>
        </w:rPr>
        <w:t xml:space="preserve"> </w:t>
      </w:r>
      <w:r w:rsidRPr="002B429F">
        <w:rPr>
          <w:rFonts w:hAnsiTheme="minorHAnsi" w:cstheme="minorBidi"/>
          <w:b/>
          <w:noProof/>
          <w:color w:val="005568"/>
          <w:spacing w:val="-4"/>
          <w:lang w:eastAsia="en-AU"/>
        </w:rPr>
        <w:t>Community Outcomes</w:t>
      </w:r>
      <w:r w:rsidRPr="002B429F">
        <w:rPr>
          <w:b/>
          <w:noProof/>
          <w:spacing w:val="-4"/>
          <w:lang w:eastAsia="en-AU"/>
        </w:rPr>
        <w:t xml:space="preserve"> </w:t>
      </w:r>
      <w:r w:rsidRPr="002B429F">
        <w:rPr>
          <w:noProof/>
          <w:spacing w:val="-4"/>
          <w:lang w:eastAsia="en-AU"/>
        </w:rPr>
        <w:t>was</w:t>
      </w:r>
      <w:r w:rsidRPr="00CC3A3C">
        <w:rPr>
          <w:noProof/>
          <w:spacing w:val="-4"/>
          <w:lang w:eastAsia="en-AU"/>
        </w:rPr>
        <w:t xml:space="preserve"> released</w:t>
      </w:r>
    </w:p>
    <w:p w:rsidR="00CC3A3C" w:rsidRPr="00CC3A3C" w:rsidRDefault="00CC3A3C" w:rsidP="00CC3A3C">
      <w:pPr>
        <w:pStyle w:val="Pa0"/>
        <w:ind w:left="1843" w:hanging="360"/>
        <w:rPr>
          <w:b/>
          <w:noProof/>
          <w:spacing w:val="-4"/>
          <w:lang w:eastAsia="en-AU"/>
        </w:rPr>
      </w:pPr>
    </w:p>
    <w:p w:rsidR="00CC3A3C" w:rsidRPr="00CC3A3C" w:rsidRDefault="00CC3A3C" w:rsidP="00CC3A3C">
      <w:pPr>
        <w:pStyle w:val="Pa0"/>
        <w:ind w:left="1843" w:hanging="360"/>
        <w:rPr>
          <w:b/>
          <w:noProof/>
          <w:spacing w:val="-4"/>
          <w:sz w:val="28"/>
          <w:lang w:eastAsia="en-AU"/>
        </w:rPr>
      </w:pPr>
      <w:r w:rsidRPr="00CC3A3C">
        <w:rPr>
          <w:b/>
          <w:noProof/>
          <w:spacing w:val="-4"/>
          <w:sz w:val="28"/>
          <w:lang w:eastAsia="en-AU"/>
        </w:rPr>
        <w:t>•</w:t>
      </w:r>
      <w:r w:rsidRPr="00CC3A3C">
        <w:rPr>
          <w:b/>
          <w:noProof/>
          <w:spacing w:val="-4"/>
          <w:sz w:val="28"/>
          <w:lang w:eastAsia="en-AU"/>
        </w:rPr>
        <w:tab/>
      </w:r>
      <w:r w:rsidRPr="00CC3A3C">
        <w:rPr>
          <w:noProof/>
          <w:spacing w:val="-4"/>
          <w:lang w:eastAsia="en-AU"/>
        </w:rPr>
        <w:t>New fields and graphs have been added to</w:t>
      </w:r>
      <w:r w:rsidRPr="00CC3A3C">
        <w:rPr>
          <w:b/>
          <w:noProof/>
          <w:spacing w:val="-4"/>
          <w:lang w:eastAsia="en-AU"/>
        </w:rPr>
        <w:t xml:space="preserve"> </w:t>
      </w:r>
      <w:r w:rsidRPr="002B429F">
        <w:rPr>
          <w:rFonts w:hAnsiTheme="minorHAnsi" w:cstheme="minorBidi"/>
          <w:b/>
          <w:noProof/>
          <w:color w:val="005568"/>
          <w:spacing w:val="-4"/>
          <w:lang w:eastAsia="en-AU"/>
        </w:rPr>
        <w:t>Organisation Overview</w:t>
      </w:r>
      <w:r w:rsidRPr="00CC3A3C">
        <w:rPr>
          <w:noProof/>
          <w:spacing w:val="-4"/>
          <w:lang w:eastAsia="en-AU"/>
        </w:rPr>
        <w:t>, and</w:t>
      </w:r>
      <w:r w:rsidRPr="00CC3A3C">
        <w:rPr>
          <w:b/>
          <w:noProof/>
          <w:spacing w:val="-4"/>
          <w:lang w:eastAsia="en-AU"/>
        </w:rPr>
        <w:t xml:space="preserve"> </w:t>
      </w:r>
      <w:r w:rsidRPr="002B429F">
        <w:rPr>
          <w:rFonts w:hAnsiTheme="minorHAnsi" w:cstheme="minorBidi"/>
          <w:b/>
          <w:noProof/>
          <w:color w:val="005568"/>
          <w:spacing w:val="-4"/>
          <w:lang w:eastAsia="en-AU"/>
        </w:rPr>
        <w:t>Client Outcomes</w:t>
      </w:r>
      <w:r w:rsidRPr="00CC3A3C">
        <w:rPr>
          <w:noProof/>
          <w:spacing w:val="-4"/>
          <w:lang w:eastAsia="en-AU"/>
        </w:rPr>
        <w:t xml:space="preserve"> reports</w:t>
      </w:r>
    </w:p>
    <w:p w:rsidR="00CC3A3C" w:rsidRPr="00CC3A3C" w:rsidRDefault="00CC3A3C" w:rsidP="00CC3A3C">
      <w:pPr>
        <w:pStyle w:val="Pa0"/>
        <w:ind w:left="1843" w:hanging="360"/>
        <w:rPr>
          <w:b/>
          <w:noProof/>
          <w:spacing w:val="-4"/>
          <w:lang w:eastAsia="en-AU"/>
        </w:rPr>
      </w:pPr>
    </w:p>
    <w:p w:rsidR="00CC3A3C" w:rsidRPr="00CC3A3C" w:rsidRDefault="00CC3A3C" w:rsidP="00CC3A3C">
      <w:pPr>
        <w:pStyle w:val="Pa0"/>
        <w:ind w:left="1843" w:hanging="360"/>
        <w:rPr>
          <w:noProof/>
          <w:spacing w:val="-4"/>
          <w:lang w:eastAsia="en-AU"/>
        </w:rPr>
      </w:pPr>
      <w:r w:rsidRPr="00CC3A3C">
        <w:rPr>
          <w:b/>
          <w:noProof/>
          <w:spacing w:val="-4"/>
          <w:sz w:val="28"/>
          <w:lang w:eastAsia="en-AU"/>
        </w:rPr>
        <w:t>•</w:t>
      </w:r>
      <w:r w:rsidRPr="00CC3A3C">
        <w:rPr>
          <w:b/>
          <w:noProof/>
          <w:spacing w:val="-4"/>
          <w:sz w:val="28"/>
          <w:lang w:eastAsia="en-AU"/>
        </w:rPr>
        <w:tab/>
      </w:r>
      <w:r w:rsidRPr="00CC3A3C">
        <w:rPr>
          <w:noProof/>
          <w:spacing w:val="-4"/>
          <w:lang w:eastAsia="en-AU"/>
        </w:rPr>
        <w:t>We have made performance enhancements to the Data Exchange system that have significantly improved web portal navigation and record searching during peak periods</w:t>
      </w:r>
    </w:p>
    <w:sectPr w:rsidR="00CC3A3C" w:rsidRPr="00CC3A3C" w:rsidSect="00CC3A3C">
      <w:headerReference w:type="default" r:id="rId6"/>
      <w:pgSz w:w="11906" w:h="16838"/>
      <w:pgMar w:top="1820" w:right="1440" w:bottom="993" w:left="0" w:header="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6F4" w:rsidRDefault="006446F4" w:rsidP="00B04ED8">
      <w:pPr>
        <w:spacing w:after="0" w:line="240" w:lineRule="auto"/>
      </w:pPr>
      <w:r>
        <w:separator/>
      </w:r>
    </w:p>
  </w:endnote>
  <w:endnote w:type="continuationSeparator" w:id="0">
    <w:p w:rsidR="006446F4" w:rsidRDefault="006446F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6F4" w:rsidRDefault="006446F4" w:rsidP="00B04ED8">
      <w:pPr>
        <w:spacing w:after="0" w:line="240" w:lineRule="auto"/>
      </w:pPr>
      <w:r>
        <w:separator/>
      </w:r>
    </w:p>
  </w:footnote>
  <w:footnote w:type="continuationSeparator" w:id="0">
    <w:p w:rsidR="006446F4" w:rsidRDefault="006446F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A3C" w:rsidRDefault="00CC3A3C">
    <w:pPr>
      <w:pStyle w:val="Header"/>
    </w:pPr>
    <w:bookmarkStart w:id="0" w:name="_GoBack"/>
    <w:r>
      <w:rPr>
        <w:noProof/>
        <w:lang w:eastAsia="en-AU"/>
      </w:rPr>
      <w:drawing>
        <wp:inline distT="0" distB="0" distL="0" distR="0">
          <wp:extent cx="7569642" cy="1789676"/>
          <wp:effectExtent l="0" t="0" r="0" b="1270"/>
          <wp:docPr id="56" name="Picture 56" descr="Data Exchange title banner with Data Exchange name and Department of Social Services" title="Data Exchange tit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7614156" cy="1800200"/>
                  </a:xfrm>
                  <a:prstGeom prst="rect">
                    <a:avLst/>
                  </a:prstGeom>
                </pic:spPr>
              </pic:pic>
            </a:graphicData>
          </a:graphic>
        </wp:inline>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3C"/>
    <w:rsid w:val="00005633"/>
    <w:rsid w:val="000B502E"/>
    <w:rsid w:val="001E630D"/>
    <w:rsid w:val="00284DC9"/>
    <w:rsid w:val="002B429F"/>
    <w:rsid w:val="003B2BB8"/>
    <w:rsid w:val="003D34FF"/>
    <w:rsid w:val="004B54CA"/>
    <w:rsid w:val="004E5CBF"/>
    <w:rsid w:val="005C3AA9"/>
    <w:rsid w:val="00621FC5"/>
    <w:rsid w:val="00637B02"/>
    <w:rsid w:val="006446F4"/>
    <w:rsid w:val="00683A84"/>
    <w:rsid w:val="00690DB1"/>
    <w:rsid w:val="006A4CE7"/>
    <w:rsid w:val="00785261"/>
    <w:rsid w:val="007B0256"/>
    <w:rsid w:val="0083177B"/>
    <w:rsid w:val="009225F0"/>
    <w:rsid w:val="0093462C"/>
    <w:rsid w:val="00953795"/>
    <w:rsid w:val="00974189"/>
    <w:rsid w:val="00A86688"/>
    <w:rsid w:val="00B04ED8"/>
    <w:rsid w:val="00B91E3E"/>
    <w:rsid w:val="00BA2DB9"/>
    <w:rsid w:val="00BE7148"/>
    <w:rsid w:val="00C84DD7"/>
    <w:rsid w:val="00CB5863"/>
    <w:rsid w:val="00CC3A3C"/>
    <w:rsid w:val="00DA243A"/>
    <w:rsid w:val="00E273E4"/>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DC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Pa0">
    <w:name w:val="Pa0"/>
    <w:basedOn w:val="Normal"/>
    <w:next w:val="Normal"/>
    <w:uiPriority w:val="99"/>
    <w:rsid w:val="00CC3A3C"/>
    <w:pPr>
      <w:autoSpaceDE w:val="0"/>
      <w:autoSpaceDN w:val="0"/>
      <w:adjustRightInd w:val="0"/>
      <w:spacing w:after="0" w:line="241" w:lineRule="atLeast"/>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2021-04-15T03:38:00Z</dcterms:created>
  <dcterms:modified xsi:type="dcterms:W3CDTF">2021-04-15T03:50:00Z</dcterms:modified>
</cp:coreProperties>
</file>