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7B0256" w:rsidP="00B91E3E"/>
    <w:p w:rsidR="00FC5C06" w:rsidRPr="00B13662" w:rsidRDefault="00FC5C06" w:rsidP="00FC5C06">
      <w:pPr>
        <w:pStyle w:val="Heading1"/>
        <w:tabs>
          <w:tab w:val="left" w:pos="7650"/>
        </w:tabs>
        <w:spacing w:before="0"/>
        <w:rPr>
          <w:rStyle w:val="TitleChar"/>
          <w:rFonts w:ascii="Georgia" w:hAnsi="Georgia" w:cs="Arial"/>
          <w:b w:val="0"/>
          <w:color w:val="215868" w:themeColor="accent5" w:themeShade="80"/>
        </w:rPr>
      </w:pPr>
      <w:r w:rsidRPr="00B13662">
        <w:rPr>
          <w:rStyle w:val="TitleChar"/>
          <w:rFonts w:ascii="Georgia" w:hAnsi="Georgia" w:cs="Arial"/>
          <w:b w:val="0"/>
          <w:color w:val="215868" w:themeColor="accent5" w:themeShade="80"/>
        </w:rPr>
        <w:t xml:space="preserve">Recording alternate forms of service delivery </w:t>
      </w:r>
    </w:p>
    <w:p w:rsidR="00FC5C06" w:rsidRPr="00C374AE" w:rsidRDefault="00FC5C06" w:rsidP="00FC5C06">
      <w:pPr>
        <w:rPr>
          <w:rFonts w:cs="Arial"/>
          <w:sz w:val="26"/>
          <w:szCs w:val="26"/>
        </w:rPr>
      </w:pPr>
    </w:p>
    <w:p w:rsidR="00FC5C06" w:rsidRPr="00C374AE" w:rsidRDefault="00FC5C06" w:rsidP="00FC5C06">
      <w:pPr>
        <w:rPr>
          <w:rFonts w:cs="Arial"/>
          <w:sz w:val="26"/>
          <w:szCs w:val="26"/>
        </w:rPr>
      </w:pPr>
      <w:r w:rsidRPr="00C374AE">
        <w:rPr>
          <w:rFonts w:cs="Arial"/>
          <w:sz w:val="26"/>
          <w:szCs w:val="26"/>
        </w:rPr>
        <w:t xml:space="preserve">This fact sheet provides information to assist organisations on how to record telephone, virtual or remote service delivery in the Data Exchange. The global health pandemic </w:t>
      </w:r>
      <w:r w:rsidR="00E1399F">
        <w:rPr>
          <w:rFonts w:cs="Arial"/>
          <w:sz w:val="26"/>
          <w:szCs w:val="26"/>
        </w:rPr>
        <w:t xml:space="preserve">in 2020 </w:t>
      </w:r>
      <w:r w:rsidRPr="00C374AE">
        <w:rPr>
          <w:rFonts w:cs="Arial"/>
          <w:sz w:val="26"/>
          <w:szCs w:val="26"/>
        </w:rPr>
        <w:t xml:space="preserve">has led organisations to shift their service delivery to meet the changing landscape; increasing their use of telephone, virtual and/or remote delivery methods to ensure clients still have access to the services they need. </w:t>
      </w:r>
    </w:p>
    <w:p w:rsidR="00FC5C06" w:rsidRPr="00C374AE" w:rsidRDefault="00FC5C06" w:rsidP="00FC5C06">
      <w:pPr>
        <w:rPr>
          <w:rFonts w:cs="Arial"/>
          <w:sz w:val="26"/>
          <w:szCs w:val="26"/>
        </w:rPr>
      </w:pPr>
      <w:r w:rsidRPr="00C374AE">
        <w:rPr>
          <w:rFonts w:cs="Arial"/>
          <w:sz w:val="26"/>
          <w:szCs w:val="26"/>
        </w:rPr>
        <w:t xml:space="preserve">The Data Exchange helps funding agencies and organisations work together to shift the focus of performance measurement from outputs to </w:t>
      </w:r>
      <w:r w:rsidR="00CF65D1">
        <w:rPr>
          <w:rFonts w:cs="Arial"/>
          <w:sz w:val="26"/>
          <w:szCs w:val="26"/>
        </w:rPr>
        <w:t xml:space="preserve">the </w:t>
      </w:r>
      <w:r w:rsidRPr="00C374AE">
        <w:rPr>
          <w:rFonts w:cs="Arial"/>
          <w:sz w:val="26"/>
          <w:szCs w:val="26"/>
        </w:rPr>
        <w:t xml:space="preserve">more meaningful information about service delivery outcomes. It has been designed to record services delivered to clients, rather than organisational effort to administer services. </w:t>
      </w:r>
    </w:p>
    <w:p w:rsidR="00FC5C06" w:rsidRPr="00C374AE" w:rsidRDefault="00FC5C06" w:rsidP="00FC5C06">
      <w:pPr>
        <w:rPr>
          <w:rFonts w:cs="Arial"/>
          <w:sz w:val="26"/>
          <w:szCs w:val="26"/>
        </w:rPr>
      </w:pPr>
      <w:r w:rsidRPr="00C374AE">
        <w:rPr>
          <w:rFonts w:cs="Arial"/>
          <w:sz w:val="26"/>
          <w:szCs w:val="26"/>
        </w:rPr>
        <w:t>As per the Data Exchange Protocols, clients are defined as ‘individuals who receive a service as part of a funded activity that is expected to lead to a measurable outcome’. This definition includes a number of components that must be met in order to count a person as a client. These components are program and context specific and involve determining whether the individual in their own right</w:t>
      </w:r>
      <w:r w:rsidR="00CF65D1">
        <w:rPr>
          <w:rFonts w:cs="Arial"/>
          <w:sz w:val="26"/>
          <w:szCs w:val="26"/>
        </w:rPr>
        <w:t>,</w:t>
      </w:r>
      <w:r w:rsidRPr="00C374AE">
        <w:rPr>
          <w:rFonts w:cs="Arial"/>
          <w:sz w:val="26"/>
          <w:szCs w:val="26"/>
        </w:rPr>
        <w:t xml:space="preserve"> is</w:t>
      </w:r>
      <w:r w:rsidR="00CF65D1">
        <w:rPr>
          <w:rFonts w:cs="Arial"/>
          <w:sz w:val="26"/>
          <w:szCs w:val="26"/>
        </w:rPr>
        <w:t xml:space="preserve"> expected to achieve an outcome </w:t>
      </w:r>
      <w:r w:rsidRPr="00C374AE">
        <w:rPr>
          <w:rFonts w:cs="Arial"/>
          <w:sz w:val="26"/>
          <w:szCs w:val="26"/>
        </w:rPr>
        <w:t>and linked to a program specific objective.</w:t>
      </w:r>
    </w:p>
    <w:p w:rsidR="005525D4" w:rsidRDefault="00FC5C06" w:rsidP="00FC5C06">
      <w:pPr>
        <w:rPr>
          <w:rFonts w:cs="Arial"/>
          <w:sz w:val="26"/>
          <w:szCs w:val="26"/>
        </w:rPr>
      </w:pPr>
      <w:r w:rsidRPr="00C374AE">
        <w:rPr>
          <w:rFonts w:cs="Arial"/>
          <w:sz w:val="26"/>
          <w:szCs w:val="26"/>
        </w:rPr>
        <w:t>We appreciate the benefits that can come from these alternate methods and encourage organisations to continue to consider which services delivery methods best suit their clients. As we continue to receive feedback and examples of alternate forms of service delivery we will update this fact sheet, and as required the Data Exchange Protocols.</w:t>
      </w:r>
    </w:p>
    <w:p w:rsidR="005525D4" w:rsidRDefault="00CF65D1" w:rsidP="00FC5C06">
      <w:pPr>
        <w:rPr>
          <w:rFonts w:cs="Arial"/>
          <w:sz w:val="26"/>
          <w:szCs w:val="26"/>
        </w:rPr>
      </w:pPr>
      <w:r>
        <w:rPr>
          <w:rFonts w:cs="Arial"/>
          <w:sz w:val="26"/>
          <w:szCs w:val="26"/>
        </w:rPr>
        <w:t>The</w:t>
      </w:r>
      <w:r w:rsidR="008A52F9">
        <w:rPr>
          <w:rFonts w:cs="Arial"/>
          <w:sz w:val="26"/>
          <w:szCs w:val="26"/>
        </w:rPr>
        <w:t xml:space="preserve"> following pages </w:t>
      </w:r>
      <w:r>
        <w:rPr>
          <w:rFonts w:cs="Arial"/>
          <w:sz w:val="26"/>
          <w:szCs w:val="26"/>
        </w:rPr>
        <w:t xml:space="preserve">provide </w:t>
      </w:r>
      <w:r w:rsidR="000E7181">
        <w:rPr>
          <w:rFonts w:cs="Arial"/>
          <w:sz w:val="26"/>
          <w:szCs w:val="26"/>
        </w:rPr>
        <w:t xml:space="preserve">examples of </w:t>
      </w:r>
      <w:r>
        <w:rPr>
          <w:rFonts w:cs="Arial"/>
          <w:sz w:val="26"/>
          <w:szCs w:val="26"/>
        </w:rPr>
        <w:t xml:space="preserve">the different </w:t>
      </w:r>
      <w:r w:rsidR="000E7181">
        <w:rPr>
          <w:rFonts w:cs="Arial"/>
          <w:sz w:val="26"/>
          <w:szCs w:val="26"/>
        </w:rPr>
        <w:t>types of alternate service deli</w:t>
      </w:r>
      <w:r w:rsidR="008A52F9">
        <w:rPr>
          <w:rFonts w:cs="Arial"/>
          <w:sz w:val="26"/>
          <w:szCs w:val="26"/>
        </w:rPr>
        <w:t>very</w:t>
      </w:r>
      <w:r w:rsidR="00DD6F0A">
        <w:rPr>
          <w:rFonts w:cs="Arial"/>
          <w:sz w:val="26"/>
          <w:szCs w:val="26"/>
        </w:rPr>
        <w:t xml:space="preserve"> methods</w:t>
      </w:r>
      <w:r>
        <w:rPr>
          <w:rFonts w:cs="Arial"/>
          <w:sz w:val="26"/>
          <w:szCs w:val="26"/>
        </w:rPr>
        <w:t>, along</w:t>
      </w:r>
      <w:r w:rsidR="008A52F9">
        <w:rPr>
          <w:rFonts w:cs="Arial"/>
          <w:sz w:val="26"/>
          <w:szCs w:val="26"/>
        </w:rPr>
        <w:t xml:space="preserve"> with recommendations </w:t>
      </w:r>
      <w:r w:rsidR="00DD6F0A">
        <w:rPr>
          <w:rFonts w:cs="Arial"/>
          <w:sz w:val="26"/>
          <w:szCs w:val="26"/>
        </w:rPr>
        <w:t xml:space="preserve">on </w:t>
      </w:r>
      <w:r w:rsidR="000E7181">
        <w:rPr>
          <w:rFonts w:cs="Arial"/>
          <w:sz w:val="26"/>
          <w:szCs w:val="26"/>
        </w:rPr>
        <w:t>how to record these into the Data Exchange</w:t>
      </w:r>
      <w:r w:rsidR="00DD6F0A">
        <w:rPr>
          <w:rFonts w:cs="Arial"/>
          <w:sz w:val="26"/>
          <w:szCs w:val="26"/>
        </w:rPr>
        <w:t xml:space="preserve"> if appropriate</w:t>
      </w:r>
      <w:r w:rsidR="000E7181">
        <w:rPr>
          <w:rFonts w:cs="Arial"/>
          <w:sz w:val="26"/>
          <w:szCs w:val="26"/>
        </w:rPr>
        <w:t xml:space="preserve">. </w:t>
      </w:r>
      <w:r w:rsidR="00A2299D">
        <w:rPr>
          <w:rFonts w:cs="Arial"/>
          <w:sz w:val="26"/>
          <w:szCs w:val="26"/>
        </w:rPr>
        <w:t>Whilst we have provided some example</w:t>
      </w:r>
      <w:r w:rsidR="003A3F36">
        <w:rPr>
          <w:rFonts w:cs="Arial"/>
          <w:sz w:val="26"/>
          <w:szCs w:val="26"/>
        </w:rPr>
        <w:t>s</w:t>
      </w:r>
      <w:r w:rsidR="00A2299D">
        <w:rPr>
          <w:rFonts w:cs="Arial"/>
          <w:sz w:val="26"/>
          <w:szCs w:val="26"/>
        </w:rPr>
        <w:t xml:space="preserve">, </w:t>
      </w:r>
      <w:r w:rsidR="003A3F36">
        <w:rPr>
          <w:rFonts w:cs="Arial"/>
          <w:sz w:val="26"/>
          <w:szCs w:val="26"/>
        </w:rPr>
        <w:t xml:space="preserve">not </w:t>
      </w:r>
      <w:r w:rsidR="00A2299D">
        <w:rPr>
          <w:rFonts w:cs="Arial"/>
          <w:sz w:val="26"/>
          <w:szCs w:val="26"/>
        </w:rPr>
        <w:t xml:space="preserve">every </w:t>
      </w:r>
      <w:r w:rsidR="003A3F36">
        <w:rPr>
          <w:rFonts w:cs="Arial"/>
          <w:sz w:val="26"/>
          <w:szCs w:val="26"/>
        </w:rPr>
        <w:t xml:space="preserve">possible </w:t>
      </w:r>
      <w:r w:rsidR="00A2299D">
        <w:rPr>
          <w:rFonts w:cs="Arial"/>
          <w:sz w:val="26"/>
          <w:szCs w:val="26"/>
        </w:rPr>
        <w:t>scenario has been captured.</w:t>
      </w:r>
      <w:r w:rsidR="003A3F36">
        <w:rPr>
          <w:rFonts w:cs="Arial"/>
          <w:sz w:val="26"/>
          <w:szCs w:val="26"/>
        </w:rPr>
        <w:t xml:space="preserve"> </w:t>
      </w:r>
      <w:r w:rsidR="00A2299D">
        <w:rPr>
          <w:rFonts w:cs="Arial"/>
          <w:sz w:val="26"/>
          <w:szCs w:val="26"/>
        </w:rPr>
        <w:t xml:space="preserve">Please use this </w:t>
      </w:r>
      <w:r w:rsidR="003A3F36">
        <w:rPr>
          <w:rFonts w:cs="Arial"/>
          <w:sz w:val="26"/>
          <w:szCs w:val="26"/>
        </w:rPr>
        <w:t xml:space="preserve">document </w:t>
      </w:r>
      <w:r w:rsidR="00A2299D">
        <w:rPr>
          <w:rFonts w:cs="Arial"/>
          <w:sz w:val="26"/>
          <w:szCs w:val="26"/>
        </w:rPr>
        <w:t>as a guide</w:t>
      </w:r>
      <w:r w:rsidR="009A4425" w:rsidRPr="00A2299D">
        <w:rPr>
          <w:rFonts w:cs="Arial"/>
          <w:sz w:val="26"/>
          <w:szCs w:val="26"/>
        </w:rPr>
        <w:t xml:space="preserve"> </w:t>
      </w:r>
      <w:r w:rsidR="00A2299D">
        <w:rPr>
          <w:rFonts w:cs="Arial"/>
          <w:sz w:val="26"/>
          <w:szCs w:val="26"/>
        </w:rPr>
        <w:t>and apply the policy explanations to your own situation.</w:t>
      </w:r>
    </w:p>
    <w:p w:rsidR="00BA5DC0" w:rsidRDefault="005525D4" w:rsidP="00FC5C06">
      <w:pPr>
        <w:rPr>
          <w:rFonts w:cs="Arial"/>
          <w:sz w:val="26"/>
          <w:szCs w:val="26"/>
        </w:rPr>
        <w:sectPr w:rsidR="00BA5DC0" w:rsidSect="005E16ED">
          <w:headerReference w:type="default" r:id="rId7"/>
          <w:footerReference w:type="default" r:id="rId8"/>
          <w:pgSz w:w="16838" w:h="11906" w:orient="landscape"/>
          <w:pgMar w:top="1276" w:right="678" w:bottom="426" w:left="709" w:header="0" w:footer="283" w:gutter="0"/>
          <w:cols w:space="708"/>
          <w:docGrid w:linePitch="360"/>
        </w:sectPr>
      </w:pPr>
      <w:r>
        <w:rPr>
          <w:rFonts w:cs="Arial"/>
          <w:sz w:val="26"/>
          <w:szCs w:val="26"/>
        </w:rPr>
        <w:t xml:space="preserve">If it is not appropriate to record </w:t>
      </w:r>
      <w:r w:rsidR="00A51946">
        <w:rPr>
          <w:rFonts w:cs="Arial"/>
          <w:sz w:val="26"/>
          <w:szCs w:val="26"/>
        </w:rPr>
        <w:t xml:space="preserve">some of </w:t>
      </w:r>
      <w:r>
        <w:rPr>
          <w:rFonts w:cs="Arial"/>
          <w:sz w:val="26"/>
          <w:szCs w:val="26"/>
        </w:rPr>
        <w:t xml:space="preserve">your </w:t>
      </w:r>
      <w:r w:rsidR="00AA6190">
        <w:rPr>
          <w:rFonts w:cs="Arial"/>
          <w:sz w:val="26"/>
          <w:szCs w:val="26"/>
        </w:rPr>
        <w:t>alternate</w:t>
      </w:r>
      <w:r w:rsidR="00794BF6">
        <w:rPr>
          <w:rFonts w:cs="Arial"/>
          <w:sz w:val="26"/>
          <w:szCs w:val="26"/>
        </w:rPr>
        <w:t xml:space="preserve"> </w:t>
      </w:r>
      <w:r>
        <w:rPr>
          <w:rFonts w:cs="Arial"/>
          <w:sz w:val="26"/>
          <w:szCs w:val="26"/>
        </w:rPr>
        <w:t xml:space="preserve">service delivery </w:t>
      </w:r>
      <w:r w:rsidR="00A51946">
        <w:rPr>
          <w:rFonts w:cs="Arial"/>
          <w:sz w:val="26"/>
          <w:szCs w:val="26"/>
        </w:rPr>
        <w:t>instances</w:t>
      </w:r>
      <w:r w:rsidR="00BA248B">
        <w:rPr>
          <w:rFonts w:cs="Arial"/>
          <w:sz w:val="26"/>
          <w:szCs w:val="26"/>
        </w:rPr>
        <w:t xml:space="preserve"> in the Data Exchange</w:t>
      </w:r>
      <w:r w:rsidR="00F67701">
        <w:rPr>
          <w:rFonts w:cs="Arial"/>
          <w:sz w:val="26"/>
          <w:szCs w:val="26"/>
        </w:rPr>
        <w:t xml:space="preserve">, </w:t>
      </w:r>
      <w:r>
        <w:rPr>
          <w:rFonts w:cs="Arial"/>
          <w:sz w:val="26"/>
          <w:szCs w:val="26"/>
        </w:rPr>
        <w:t xml:space="preserve">other avenues such as an </w:t>
      </w:r>
      <w:r w:rsidRPr="005525D4">
        <w:rPr>
          <w:rFonts w:cs="Arial"/>
          <w:i/>
          <w:sz w:val="26"/>
          <w:szCs w:val="26"/>
        </w:rPr>
        <w:t>Activity Work Plan</w:t>
      </w:r>
      <w:r>
        <w:rPr>
          <w:rFonts w:cs="Arial"/>
          <w:sz w:val="26"/>
          <w:szCs w:val="26"/>
        </w:rPr>
        <w:t xml:space="preserve"> </w:t>
      </w:r>
      <w:r w:rsidR="00A51946">
        <w:rPr>
          <w:rFonts w:cs="Arial"/>
          <w:sz w:val="26"/>
          <w:szCs w:val="26"/>
        </w:rPr>
        <w:t xml:space="preserve">progress </w:t>
      </w:r>
      <w:r>
        <w:rPr>
          <w:rFonts w:cs="Arial"/>
          <w:sz w:val="26"/>
          <w:szCs w:val="26"/>
        </w:rPr>
        <w:t>report</w:t>
      </w:r>
      <w:r w:rsidR="00BA248B">
        <w:rPr>
          <w:rFonts w:cs="Arial"/>
          <w:sz w:val="26"/>
          <w:szCs w:val="26"/>
        </w:rPr>
        <w:t xml:space="preserve"> (</w:t>
      </w:r>
      <w:r w:rsidR="00A51946">
        <w:rPr>
          <w:rFonts w:cs="Arial"/>
          <w:sz w:val="26"/>
          <w:szCs w:val="26"/>
        </w:rPr>
        <w:t>if applicable</w:t>
      </w:r>
      <w:r w:rsidR="00BA248B">
        <w:rPr>
          <w:rFonts w:cs="Arial"/>
          <w:sz w:val="26"/>
          <w:szCs w:val="26"/>
        </w:rPr>
        <w:t>)</w:t>
      </w:r>
      <w:r>
        <w:rPr>
          <w:rFonts w:cs="Arial"/>
          <w:sz w:val="26"/>
          <w:szCs w:val="26"/>
        </w:rPr>
        <w:t>, may be better placed to capture</w:t>
      </w:r>
      <w:r w:rsidR="00A51946">
        <w:rPr>
          <w:rFonts w:cs="Arial"/>
          <w:sz w:val="26"/>
          <w:szCs w:val="26"/>
        </w:rPr>
        <w:t xml:space="preserve">/report </w:t>
      </w:r>
      <w:r>
        <w:rPr>
          <w:rFonts w:cs="Arial"/>
          <w:sz w:val="26"/>
          <w:szCs w:val="26"/>
        </w:rPr>
        <w:t>th</w:t>
      </w:r>
      <w:r w:rsidR="00A51946">
        <w:rPr>
          <w:rFonts w:cs="Arial"/>
          <w:sz w:val="26"/>
          <w:szCs w:val="26"/>
        </w:rPr>
        <w:t>es</w:t>
      </w:r>
      <w:r w:rsidR="00FD0842">
        <w:rPr>
          <w:rFonts w:cs="Arial"/>
          <w:sz w:val="26"/>
          <w:szCs w:val="26"/>
        </w:rPr>
        <w:t>e</w:t>
      </w:r>
      <w:r w:rsidR="00A51946">
        <w:rPr>
          <w:rFonts w:cs="Arial"/>
          <w:sz w:val="26"/>
          <w:szCs w:val="26"/>
        </w:rPr>
        <w:t xml:space="preserve">. </w:t>
      </w:r>
      <w:r>
        <w:rPr>
          <w:rFonts w:cs="Arial"/>
          <w:sz w:val="26"/>
          <w:szCs w:val="26"/>
        </w:rPr>
        <w:t xml:space="preserve">Please discuss this </w:t>
      </w:r>
      <w:r w:rsidR="005D6EAD">
        <w:rPr>
          <w:rFonts w:cs="Arial"/>
          <w:sz w:val="26"/>
          <w:szCs w:val="26"/>
        </w:rPr>
        <w:t xml:space="preserve">further </w:t>
      </w:r>
      <w:r>
        <w:rPr>
          <w:rFonts w:cs="Arial"/>
          <w:sz w:val="26"/>
          <w:szCs w:val="26"/>
        </w:rPr>
        <w:t>with your Funding Arrangement Manager</w:t>
      </w:r>
      <w:r w:rsidR="005D6EAD">
        <w:rPr>
          <w:rFonts w:cs="Arial"/>
          <w:sz w:val="26"/>
          <w:szCs w:val="26"/>
        </w:rPr>
        <w:t>, if required.</w:t>
      </w:r>
      <w:r w:rsidR="00A51946">
        <w:rPr>
          <w:rFonts w:cs="Arial"/>
          <w:sz w:val="26"/>
          <w:szCs w:val="26"/>
        </w:rPr>
        <w:t xml:space="preserve"> </w:t>
      </w:r>
    </w:p>
    <w:tbl>
      <w:tblPr>
        <w:tblStyle w:val="TableGrid"/>
        <w:tblW w:w="16585" w:type="dxa"/>
        <w:tblInd w:w="-572" w:type="dxa"/>
        <w:tblLook w:val="04A0" w:firstRow="1" w:lastRow="0" w:firstColumn="1" w:lastColumn="0" w:noHBand="0" w:noVBand="1"/>
        <w:tblCaption w:val="Telephone Services"/>
        <w:tblDescription w:val="This table describes the Policy explanation, Examples of use, and Recommendations for Telephone Services"/>
      </w:tblPr>
      <w:tblGrid>
        <w:gridCol w:w="2410"/>
        <w:gridCol w:w="3686"/>
        <w:gridCol w:w="5528"/>
        <w:gridCol w:w="4961"/>
      </w:tblGrid>
      <w:tr w:rsidR="001C57BC" w:rsidTr="00B9709F">
        <w:trPr>
          <w:tblHeader/>
        </w:trPr>
        <w:tc>
          <w:tcPr>
            <w:tcW w:w="2410" w:type="dxa"/>
            <w:shd w:val="clear" w:color="auto" w:fill="215868"/>
          </w:tcPr>
          <w:p w:rsidR="001C57BC" w:rsidRPr="001C57BC" w:rsidRDefault="001C57BC" w:rsidP="001C57BC">
            <w:pPr>
              <w:jc w:val="center"/>
              <w:rPr>
                <w:b/>
                <w:color w:val="FFFFFF" w:themeColor="background1"/>
              </w:rPr>
            </w:pPr>
            <w:r w:rsidRPr="001C57BC">
              <w:rPr>
                <w:b/>
                <w:color w:val="FFFFFF" w:themeColor="background1"/>
              </w:rPr>
              <w:lastRenderedPageBreak/>
              <w:t>Service Delivery Method</w:t>
            </w:r>
          </w:p>
        </w:tc>
        <w:tc>
          <w:tcPr>
            <w:tcW w:w="3686" w:type="dxa"/>
            <w:shd w:val="clear" w:color="auto" w:fill="215868"/>
            <w:vAlign w:val="center"/>
          </w:tcPr>
          <w:p w:rsidR="001C57BC" w:rsidRPr="001C57BC" w:rsidRDefault="001C57BC" w:rsidP="001C57BC">
            <w:pPr>
              <w:jc w:val="center"/>
              <w:rPr>
                <w:b/>
                <w:color w:val="FFFFFF" w:themeColor="background1"/>
              </w:rPr>
            </w:pPr>
            <w:r w:rsidRPr="001C57BC">
              <w:rPr>
                <w:b/>
                <w:color w:val="FFFFFF" w:themeColor="background1"/>
              </w:rPr>
              <w:t>Policy Explanation</w:t>
            </w:r>
          </w:p>
        </w:tc>
        <w:tc>
          <w:tcPr>
            <w:tcW w:w="5528" w:type="dxa"/>
            <w:shd w:val="clear" w:color="auto" w:fill="215868"/>
            <w:vAlign w:val="center"/>
          </w:tcPr>
          <w:p w:rsidR="001C57BC" w:rsidRPr="001C57BC" w:rsidRDefault="001C57BC" w:rsidP="001C57BC">
            <w:pPr>
              <w:jc w:val="center"/>
              <w:rPr>
                <w:b/>
                <w:color w:val="FFFFFF" w:themeColor="background1"/>
              </w:rPr>
            </w:pPr>
            <w:r w:rsidRPr="001C57BC">
              <w:rPr>
                <w:b/>
                <w:color w:val="FFFFFF" w:themeColor="background1"/>
              </w:rPr>
              <w:t>Examples</w:t>
            </w:r>
          </w:p>
        </w:tc>
        <w:tc>
          <w:tcPr>
            <w:tcW w:w="4961" w:type="dxa"/>
            <w:shd w:val="clear" w:color="auto" w:fill="215868"/>
            <w:vAlign w:val="center"/>
          </w:tcPr>
          <w:p w:rsidR="001C57BC" w:rsidRPr="001C57BC" w:rsidRDefault="001C57BC" w:rsidP="001C57BC">
            <w:pPr>
              <w:jc w:val="center"/>
              <w:rPr>
                <w:b/>
                <w:color w:val="FFFFFF" w:themeColor="background1"/>
              </w:rPr>
            </w:pPr>
            <w:r w:rsidRPr="001C57BC">
              <w:rPr>
                <w:b/>
                <w:color w:val="FFFFFF" w:themeColor="background1"/>
              </w:rPr>
              <w:t>Recommendations</w:t>
            </w:r>
          </w:p>
        </w:tc>
      </w:tr>
      <w:tr w:rsidR="001C57BC" w:rsidTr="00496C61">
        <w:tc>
          <w:tcPr>
            <w:tcW w:w="2410" w:type="dxa"/>
          </w:tcPr>
          <w:p w:rsidR="001C57BC" w:rsidRPr="00B74303" w:rsidRDefault="001C57BC" w:rsidP="001C57BC">
            <w:pPr>
              <w:rPr>
                <w:rFonts w:cs="Arial"/>
                <w:b/>
                <w:sz w:val="24"/>
                <w:szCs w:val="24"/>
              </w:rPr>
            </w:pPr>
            <w:r w:rsidRPr="00B74303">
              <w:rPr>
                <w:rFonts w:cs="Arial"/>
                <w:b/>
                <w:sz w:val="24"/>
                <w:szCs w:val="24"/>
              </w:rPr>
              <w:t>Telephone Services</w:t>
            </w:r>
          </w:p>
        </w:tc>
        <w:tc>
          <w:tcPr>
            <w:tcW w:w="3686" w:type="dxa"/>
          </w:tcPr>
          <w:p w:rsidR="001C57BC" w:rsidRPr="00B74303" w:rsidRDefault="001C57BC" w:rsidP="001C57BC">
            <w:pPr>
              <w:jc w:val="both"/>
              <w:rPr>
                <w:rFonts w:cs="Arial"/>
                <w:sz w:val="24"/>
                <w:szCs w:val="24"/>
              </w:rPr>
            </w:pPr>
            <w:r w:rsidRPr="00B74303">
              <w:rPr>
                <w:rFonts w:cs="Arial"/>
                <w:sz w:val="24"/>
                <w:szCs w:val="24"/>
              </w:rPr>
              <w:t>Telephone services should only be counted as service delivery where they can be expected to lead to a measurable outcome</w:t>
            </w:r>
          </w:p>
        </w:tc>
        <w:tc>
          <w:tcPr>
            <w:tcW w:w="5528" w:type="dxa"/>
          </w:tcPr>
          <w:p w:rsidR="001C57BC" w:rsidRPr="00B74303" w:rsidRDefault="001C57BC" w:rsidP="001C57BC">
            <w:pPr>
              <w:rPr>
                <w:rFonts w:cs="Arial"/>
                <w:sz w:val="24"/>
                <w:szCs w:val="24"/>
              </w:rPr>
            </w:pPr>
            <w:r w:rsidRPr="00B74303">
              <w:rPr>
                <w:rFonts w:cs="Arial"/>
                <w:i/>
                <w:sz w:val="24"/>
                <w:szCs w:val="24"/>
                <w:u w:val="single"/>
              </w:rPr>
              <w:t>Scenario 1</w:t>
            </w:r>
            <w:r w:rsidRPr="00B74303">
              <w:rPr>
                <w:rFonts w:cs="Arial"/>
                <w:sz w:val="24"/>
                <w:szCs w:val="24"/>
              </w:rPr>
              <w:t>: Jean attends a counselling session via the telephone.</w:t>
            </w:r>
          </w:p>
          <w:p w:rsidR="001C57BC" w:rsidRPr="00B74303" w:rsidRDefault="001C57BC" w:rsidP="001C57BC">
            <w:pPr>
              <w:rPr>
                <w:rFonts w:cs="Arial"/>
                <w:sz w:val="24"/>
                <w:szCs w:val="24"/>
              </w:rPr>
            </w:pPr>
          </w:p>
          <w:p w:rsidR="001C57BC" w:rsidRPr="00B74303" w:rsidRDefault="001C57BC" w:rsidP="001C57BC">
            <w:pPr>
              <w:rPr>
                <w:rFonts w:cs="Arial"/>
                <w:i/>
                <w:sz w:val="24"/>
                <w:szCs w:val="24"/>
              </w:rPr>
            </w:pPr>
            <w:r w:rsidRPr="00B74303">
              <w:rPr>
                <w:rFonts w:ascii="Segoe UI Symbol" w:hAnsi="Segoe UI Symbol" w:cs="Segoe UI Symbol"/>
                <w:color w:val="00B050"/>
                <w:sz w:val="24"/>
                <w:szCs w:val="24"/>
              </w:rPr>
              <w:t>✔</w:t>
            </w:r>
            <w:r w:rsidRPr="00B74303">
              <w:rPr>
                <w:rFonts w:cs="Arial"/>
                <w:color w:val="00B050"/>
                <w:sz w:val="24"/>
                <w:szCs w:val="24"/>
              </w:rPr>
              <w:t xml:space="preserve"> </w:t>
            </w:r>
            <w:r w:rsidRPr="00B74303">
              <w:rPr>
                <w:rFonts w:cs="Arial"/>
                <w:sz w:val="24"/>
                <w:szCs w:val="24"/>
              </w:rPr>
              <w:t>R</w:t>
            </w:r>
            <w:r w:rsidRPr="00B74303">
              <w:rPr>
                <w:rFonts w:cs="Arial"/>
                <w:i/>
                <w:sz w:val="24"/>
                <w:szCs w:val="24"/>
              </w:rPr>
              <w:t>ecord this in the Data Exchange as the call will lead to a measurable outcome for Jean.</w:t>
            </w:r>
          </w:p>
          <w:p w:rsidR="001C57BC" w:rsidRPr="00B74303" w:rsidRDefault="001C57BC" w:rsidP="001C57BC">
            <w:pPr>
              <w:rPr>
                <w:rFonts w:cs="Arial"/>
                <w:sz w:val="24"/>
                <w:szCs w:val="24"/>
              </w:rPr>
            </w:pPr>
          </w:p>
          <w:p w:rsidR="001C57BC" w:rsidRPr="00B74303" w:rsidRDefault="001C57BC" w:rsidP="001C57BC">
            <w:pPr>
              <w:rPr>
                <w:rFonts w:cs="Arial"/>
                <w:sz w:val="24"/>
                <w:szCs w:val="24"/>
              </w:rPr>
            </w:pPr>
            <w:r w:rsidRPr="00B74303">
              <w:rPr>
                <w:rFonts w:cs="Arial"/>
                <w:i/>
                <w:sz w:val="24"/>
                <w:szCs w:val="24"/>
                <w:u w:val="single"/>
              </w:rPr>
              <w:t>Scenario 2:</w:t>
            </w:r>
            <w:r w:rsidRPr="00B74303">
              <w:rPr>
                <w:rFonts w:cs="Arial"/>
                <w:sz w:val="24"/>
                <w:szCs w:val="24"/>
              </w:rPr>
              <w:t xml:space="preserve"> Joshua rings and requests assistance with a matter. Due to the pandemic, the organisation indicates they are now delivering counselling via phone and books a telephone appointment for Joshua.</w:t>
            </w:r>
          </w:p>
          <w:p w:rsidR="001C57BC" w:rsidRPr="00B74303" w:rsidRDefault="001C57BC" w:rsidP="001C57BC">
            <w:pPr>
              <w:rPr>
                <w:rFonts w:cs="Arial"/>
                <w:sz w:val="24"/>
                <w:szCs w:val="24"/>
              </w:rPr>
            </w:pPr>
          </w:p>
          <w:p w:rsidR="001C57BC" w:rsidRPr="00B74303" w:rsidRDefault="001C57BC" w:rsidP="001C57BC">
            <w:pPr>
              <w:rPr>
                <w:rFonts w:cs="Arial"/>
                <w:i/>
                <w:sz w:val="24"/>
                <w:szCs w:val="24"/>
              </w:rPr>
            </w:pPr>
            <w:r w:rsidRPr="00B74303">
              <w:rPr>
                <w:rFonts w:ascii="Segoe UI Symbol" w:hAnsi="Segoe UI Symbol" w:cs="Segoe UI Symbol"/>
                <w:color w:val="FF0000"/>
                <w:sz w:val="24"/>
                <w:szCs w:val="24"/>
              </w:rPr>
              <w:t>✖</w:t>
            </w:r>
            <w:r w:rsidRPr="00B74303">
              <w:rPr>
                <w:rFonts w:cs="Arial"/>
                <w:color w:val="FF0000"/>
                <w:sz w:val="24"/>
                <w:szCs w:val="24"/>
              </w:rPr>
              <w:t xml:space="preserve"> </w:t>
            </w:r>
            <w:r w:rsidRPr="00B74303">
              <w:rPr>
                <w:rFonts w:cs="Arial"/>
                <w:i/>
                <w:sz w:val="24"/>
                <w:szCs w:val="24"/>
              </w:rPr>
              <w:t>Do not record this interaction in the Data Exchange as there has been no measurable outcome for Joshua at this stage.</w:t>
            </w:r>
          </w:p>
          <w:p w:rsidR="001C57BC" w:rsidRPr="00B74303" w:rsidRDefault="001C57BC" w:rsidP="001C57BC">
            <w:pPr>
              <w:rPr>
                <w:rFonts w:cs="Arial"/>
                <w:sz w:val="24"/>
                <w:szCs w:val="24"/>
              </w:rPr>
            </w:pPr>
          </w:p>
          <w:p w:rsidR="001C57BC" w:rsidRPr="00B74303" w:rsidRDefault="001C57BC" w:rsidP="001C57BC">
            <w:pPr>
              <w:rPr>
                <w:rFonts w:cs="Arial"/>
                <w:sz w:val="24"/>
                <w:szCs w:val="24"/>
              </w:rPr>
            </w:pPr>
            <w:r w:rsidRPr="00B74303">
              <w:rPr>
                <w:rFonts w:cs="Arial"/>
                <w:i/>
                <w:sz w:val="24"/>
                <w:szCs w:val="24"/>
                <w:u w:val="single"/>
              </w:rPr>
              <w:t>Scenario 3:</w:t>
            </w:r>
            <w:r w:rsidRPr="00B74303">
              <w:rPr>
                <w:rFonts w:cs="Arial"/>
                <w:sz w:val="24"/>
                <w:szCs w:val="24"/>
              </w:rPr>
              <w:t xml:space="preserve"> Jasmin rings and requests assistance with a matter. The organisation spends 30 minutes with Jasmin unpacking her issues and working through some options Jasmin can implement now. It is not appropriate for the organisation to collect Jasmin’s personal details during the call.</w:t>
            </w:r>
          </w:p>
          <w:p w:rsidR="001C57BC" w:rsidRPr="00B74303" w:rsidRDefault="001C57BC" w:rsidP="001C57BC">
            <w:pPr>
              <w:rPr>
                <w:rFonts w:cs="Arial"/>
                <w:sz w:val="24"/>
                <w:szCs w:val="24"/>
              </w:rPr>
            </w:pPr>
          </w:p>
          <w:p w:rsidR="001C57BC" w:rsidRPr="00B74303" w:rsidRDefault="001C57BC" w:rsidP="001C57BC">
            <w:pPr>
              <w:rPr>
                <w:rFonts w:cs="Arial"/>
                <w:sz w:val="24"/>
                <w:szCs w:val="24"/>
              </w:rPr>
            </w:pPr>
            <w:r w:rsidRPr="00B74303">
              <w:rPr>
                <w:rFonts w:ascii="Segoe UI Symbol" w:hAnsi="Segoe UI Symbol" w:cs="Segoe UI Symbol"/>
                <w:color w:val="00B050"/>
                <w:sz w:val="24"/>
                <w:szCs w:val="24"/>
              </w:rPr>
              <w:t>✔</w:t>
            </w:r>
            <w:r w:rsidRPr="00B74303">
              <w:rPr>
                <w:rFonts w:cs="Arial"/>
                <w:color w:val="00B050"/>
                <w:sz w:val="24"/>
                <w:szCs w:val="24"/>
              </w:rPr>
              <w:t xml:space="preserve"> </w:t>
            </w:r>
            <w:r w:rsidRPr="00B74303">
              <w:rPr>
                <w:rFonts w:cs="Arial"/>
                <w:i/>
                <w:sz w:val="24"/>
                <w:szCs w:val="24"/>
              </w:rPr>
              <w:t>Record this interaction in the Data Exchange as the call will lead to a measurable outcome for Jasmin</w:t>
            </w:r>
            <w:r w:rsidRPr="00B74303">
              <w:rPr>
                <w:rFonts w:cs="Arial"/>
                <w:sz w:val="24"/>
                <w:szCs w:val="24"/>
              </w:rPr>
              <w:t>.</w:t>
            </w:r>
          </w:p>
        </w:tc>
        <w:tc>
          <w:tcPr>
            <w:tcW w:w="4961" w:type="dxa"/>
          </w:tcPr>
          <w:p w:rsidR="001C57BC" w:rsidRPr="00B74303" w:rsidRDefault="001C57BC" w:rsidP="001C57BC">
            <w:pPr>
              <w:pStyle w:val="ListParagraph"/>
              <w:numPr>
                <w:ilvl w:val="0"/>
                <w:numId w:val="12"/>
              </w:numPr>
              <w:ind w:left="356"/>
              <w:rPr>
                <w:rFonts w:cs="Arial"/>
                <w:sz w:val="24"/>
                <w:szCs w:val="24"/>
              </w:rPr>
            </w:pPr>
            <w:r w:rsidRPr="00B74303">
              <w:rPr>
                <w:rFonts w:cs="Arial"/>
                <w:sz w:val="24"/>
                <w:szCs w:val="24"/>
              </w:rPr>
              <w:t>The interaction must lead to a measurable outcome in order for it to be recorded in the Data Exchange.</w:t>
            </w:r>
          </w:p>
          <w:p w:rsidR="001C57BC" w:rsidRPr="00B74303" w:rsidRDefault="001C57BC" w:rsidP="001C57BC">
            <w:pPr>
              <w:pStyle w:val="ListParagraph"/>
              <w:ind w:left="356"/>
              <w:rPr>
                <w:rFonts w:cs="Arial"/>
                <w:sz w:val="24"/>
                <w:szCs w:val="24"/>
              </w:rPr>
            </w:pPr>
          </w:p>
          <w:p w:rsidR="001C57BC" w:rsidRPr="00B74303" w:rsidRDefault="001C57BC" w:rsidP="001C57BC">
            <w:pPr>
              <w:pStyle w:val="ListParagraph"/>
              <w:numPr>
                <w:ilvl w:val="0"/>
                <w:numId w:val="12"/>
              </w:numPr>
              <w:ind w:left="356"/>
              <w:rPr>
                <w:rFonts w:cs="Arial"/>
                <w:sz w:val="24"/>
                <w:szCs w:val="24"/>
              </w:rPr>
            </w:pPr>
            <w:r w:rsidRPr="00B74303">
              <w:rPr>
                <w:rFonts w:cs="Arial"/>
                <w:sz w:val="24"/>
                <w:szCs w:val="24"/>
              </w:rPr>
              <w:t>Where possible, capture information about your clients. Where this is not possible, record them as ‘unidentified’.</w:t>
            </w:r>
          </w:p>
          <w:p w:rsidR="001C57BC" w:rsidRPr="00B74303" w:rsidRDefault="001C57BC" w:rsidP="001C57BC">
            <w:pPr>
              <w:pStyle w:val="ListParagraph"/>
              <w:ind w:left="356"/>
              <w:rPr>
                <w:rFonts w:cs="Arial"/>
                <w:sz w:val="24"/>
                <w:szCs w:val="24"/>
              </w:rPr>
            </w:pPr>
          </w:p>
          <w:p w:rsidR="001C57BC" w:rsidRPr="00B74303" w:rsidRDefault="001C57BC" w:rsidP="001C57BC">
            <w:pPr>
              <w:pStyle w:val="ListParagraph"/>
              <w:numPr>
                <w:ilvl w:val="0"/>
                <w:numId w:val="12"/>
              </w:numPr>
              <w:ind w:left="356"/>
              <w:rPr>
                <w:rFonts w:cs="Arial"/>
                <w:sz w:val="24"/>
                <w:szCs w:val="24"/>
              </w:rPr>
            </w:pPr>
            <w:r w:rsidRPr="00B74303">
              <w:rPr>
                <w:rFonts w:cs="Arial"/>
                <w:sz w:val="24"/>
                <w:szCs w:val="24"/>
              </w:rPr>
              <w:t>If you receive multiple calls, similar to Scenario 3, throughout the day where it is not appropriate to collect a client’s personal details, you can record your clients as ‘unidentified’ or group clients for the same service type, under one session.</w:t>
            </w:r>
          </w:p>
          <w:p w:rsidR="001C57BC" w:rsidRPr="00B74303" w:rsidRDefault="001C57BC" w:rsidP="001C57BC">
            <w:pPr>
              <w:pStyle w:val="ListParagraph"/>
              <w:ind w:left="356"/>
              <w:rPr>
                <w:rFonts w:cs="Arial"/>
                <w:sz w:val="24"/>
                <w:szCs w:val="24"/>
              </w:rPr>
            </w:pPr>
          </w:p>
          <w:p w:rsidR="001C57BC" w:rsidRPr="00B74303" w:rsidRDefault="001C57BC" w:rsidP="001C57BC">
            <w:pPr>
              <w:pStyle w:val="ListParagraph"/>
              <w:numPr>
                <w:ilvl w:val="0"/>
                <w:numId w:val="12"/>
              </w:numPr>
              <w:ind w:left="356"/>
              <w:rPr>
                <w:rFonts w:cs="Arial"/>
                <w:sz w:val="24"/>
                <w:szCs w:val="24"/>
              </w:rPr>
            </w:pPr>
            <w:r w:rsidRPr="00B74303">
              <w:rPr>
                <w:rFonts w:cs="Arial"/>
                <w:sz w:val="24"/>
                <w:szCs w:val="24"/>
              </w:rPr>
              <w:t xml:space="preserve">Record outlets as the outlet from which the staff member would usually work.  </w:t>
            </w:r>
            <w:r w:rsidRPr="00B74303">
              <w:rPr>
                <w:rFonts w:cs="Arial"/>
                <w:color w:val="FF0000"/>
                <w:sz w:val="24"/>
                <w:szCs w:val="24"/>
              </w:rPr>
              <w:t>Please do not add a personal home address as an outlet</w:t>
            </w:r>
            <w:r w:rsidRPr="00B74303">
              <w:rPr>
                <w:rFonts w:cs="Arial"/>
                <w:sz w:val="24"/>
                <w:szCs w:val="24"/>
              </w:rPr>
              <w:t>.</w:t>
            </w:r>
          </w:p>
          <w:p w:rsidR="001C57BC" w:rsidRPr="00B74303" w:rsidRDefault="001C57BC" w:rsidP="001C57BC">
            <w:pPr>
              <w:pStyle w:val="ListParagraph"/>
              <w:ind w:left="356"/>
              <w:rPr>
                <w:rFonts w:cs="Arial"/>
                <w:sz w:val="24"/>
                <w:szCs w:val="24"/>
              </w:rPr>
            </w:pPr>
          </w:p>
          <w:p w:rsidR="001C57BC" w:rsidRPr="00B74303" w:rsidRDefault="001C57BC" w:rsidP="001C57BC">
            <w:pPr>
              <w:pStyle w:val="ListParagraph"/>
              <w:numPr>
                <w:ilvl w:val="0"/>
                <w:numId w:val="12"/>
              </w:numPr>
              <w:ind w:left="356"/>
              <w:rPr>
                <w:rFonts w:cs="Arial"/>
                <w:sz w:val="24"/>
                <w:szCs w:val="24"/>
              </w:rPr>
            </w:pPr>
            <w:r w:rsidRPr="00B74303">
              <w:rPr>
                <w:rFonts w:cs="Arial"/>
                <w:sz w:val="24"/>
                <w:szCs w:val="24"/>
              </w:rPr>
              <w:t>Use the ‘Service Setting’ field to record how you delivered the service. (Telephone or Video)</w:t>
            </w:r>
          </w:p>
          <w:p w:rsidR="001C57BC" w:rsidRPr="00B74303" w:rsidRDefault="001C57BC" w:rsidP="001C57BC">
            <w:pPr>
              <w:pStyle w:val="ListParagraph"/>
              <w:ind w:left="356"/>
              <w:rPr>
                <w:rFonts w:cs="Arial"/>
                <w:sz w:val="24"/>
                <w:szCs w:val="24"/>
              </w:rPr>
            </w:pPr>
          </w:p>
          <w:p w:rsidR="001C57BC" w:rsidRPr="00B74303" w:rsidRDefault="001C57BC" w:rsidP="001C57BC">
            <w:pPr>
              <w:pStyle w:val="ListParagraph"/>
              <w:numPr>
                <w:ilvl w:val="0"/>
                <w:numId w:val="12"/>
              </w:numPr>
              <w:ind w:left="356"/>
              <w:rPr>
                <w:rFonts w:cs="Arial"/>
                <w:sz w:val="24"/>
                <w:szCs w:val="24"/>
              </w:rPr>
            </w:pPr>
            <w:r w:rsidRPr="00B74303">
              <w:rPr>
                <w:rFonts w:cs="Arial"/>
                <w:sz w:val="24"/>
                <w:szCs w:val="24"/>
              </w:rPr>
              <w:t>If you are recording higher numbers of unidentified clients please contact/advi</w:t>
            </w:r>
            <w:r w:rsidRPr="00B74303">
              <w:rPr>
                <w:rFonts w:cs="Arial"/>
                <w:bCs/>
                <w:sz w:val="24"/>
                <w:szCs w:val="24"/>
              </w:rPr>
              <w:t xml:space="preserve">se </w:t>
            </w:r>
            <w:r w:rsidRPr="00B74303">
              <w:rPr>
                <w:rFonts w:cs="Arial"/>
                <w:sz w:val="24"/>
                <w:szCs w:val="24"/>
              </w:rPr>
              <w:t xml:space="preserve">your Funding Arrangement Manager in writing, outlining the data changes, prior to the close of the reporting period. </w:t>
            </w:r>
          </w:p>
        </w:tc>
      </w:tr>
    </w:tbl>
    <w:p w:rsidR="001C57BC" w:rsidRDefault="001C57BC" w:rsidP="00FC5C06">
      <w:pPr>
        <w:rPr>
          <w:rFonts w:cs="Arial"/>
          <w:sz w:val="26"/>
          <w:szCs w:val="26"/>
        </w:rPr>
      </w:pPr>
    </w:p>
    <w:tbl>
      <w:tblPr>
        <w:tblStyle w:val="TableGrid"/>
        <w:tblW w:w="16585" w:type="dxa"/>
        <w:tblInd w:w="-572" w:type="dxa"/>
        <w:tblLook w:val="04A0" w:firstRow="1" w:lastRow="0" w:firstColumn="1" w:lastColumn="0" w:noHBand="0" w:noVBand="1"/>
        <w:tblCaption w:val="Virtual Services"/>
        <w:tblDescription w:val="This table describes the Policy explanation, Examples of use, and Recommendations for Virtual Services"/>
      </w:tblPr>
      <w:tblGrid>
        <w:gridCol w:w="2410"/>
        <w:gridCol w:w="3686"/>
        <w:gridCol w:w="5528"/>
        <w:gridCol w:w="4961"/>
      </w:tblGrid>
      <w:tr w:rsidR="001C57BC" w:rsidTr="00B9709F">
        <w:trPr>
          <w:tblHeader/>
        </w:trPr>
        <w:tc>
          <w:tcPr>
            <w:tcW w:w="2410" w:type="dxa"/>
            <w:shd w:val="clear" w:color="auto" w:fill="215868"/>
          </w:tcPr>
          <w:p w:rsidR="001C57BC" w:rsidRPr="001C57BC" w:rsidRDefault="001C57BC" w:rsidP="00286D8D">
            <w:pPr>
              <w:jc w:val="center"/>
              <w:rPr>
                <w:b/>
                <w:color w:val="FFFFFF" w:themeColor="background1"/>
              </w:rPr>
            </w:pPr>
            <w:r w:rsidRPr="001C57BC">
              <w:rPr>
                <w:b/>
                <w:color w:val="FFFFFF" w:themeColor="background1"/>
              </w:rPr>
              <w:lastRenderedPageBreak/>
              <w:t>Service Delivery Method</w:t>
            </w:r>
          </w:p>
        </w:tc>
        <w:tc>
          <w:tcPr>
            <w:tcW w:w="3686" w:type="dxa"/>
            <w:shd w:val="clear" w:color="auto" w:fill="215868"/>
            <w:vAlign w:val="center"/>
          </w:tcPr>
          <w:p w:rsidR="001C57BC" w:rsidRPr="001C57BC" w:rsidRDefault="001C57BC" w:rsidP="00286D8D">
            <w:pPr>
              <w:jc w:val="center"/>
              <w:rPr>
                <w:b/>
                <w:color w:val="FFFFFF" w:themeColor="background1"/>
              </w:rPr>
            </w:pPr>
            <w:r w:rsidRPr="001C57BC">
              <w:rPr>
                <w:b/>
                <w:color w:val="FFFFFF" w:themeColor="background1"/>
              </w:rPr>
              <w:t>Policy Explanation</w:t>
            </w:r>
          </w:p>
        </w:tc>
        <w:tc>
          <w:tcPr>
            <w:tcW w:w="5528" w:type="dxa"/>
            <w:shd w:val="clear" w:color="auto" w:fill="215868"/>
            <w:vAlign w:val="center"/>
          </w:tcPr>
          <w:p w:rsidR="001C57BC" w:rsidRPr="001C57BC" w:rsidRDefault="001C57BC" w:rsidP="00286D8D">
            <w:pPr>
              <w:jc w:val="center"/>
              <w:rPr>
                <w:b/>
                <w:color w:val="FFFFFF" w:themeColor="background1"/>
              </w:rPr>
            </w:pPr>
            <w:r w:rsidRPr="001C57BC">
              <w:rPr>
                <w:b/>
                <w:color w:val="FFFFFF" w:themeColor="background1"/>
              </w:rPr>
              <w:t>Examples</w:t>
            </w:r>
          </w:p>
        </w:tc>
        <w:tc>
          <w:tcPr>
            <w:tcW w:w="4961" w:type="dxa"/>
            <w:shd w:val="clear" w:color="auto" w:fill="215868"/>
            <w:vAlign w:val="center"/>
          </w:tcPr>
          <w:p w:rsidR="001C57BC" w:rsidRPr="001C57BC" w:rsidRDefault="001C57BC" w:rsidP="00286D8D">
            <w:pPr>
              <w:jc w:val="center"/>
              <w:rPr>
                <w:b/>
                <w:color w:val="FFFFFF" w:themeColor="background1"/>
              </w:rPr>
            </w:pPr>
            <w:r w:rsidRPr="001C57BC">
              <w:rPr>
                <w:b/>
                <w:color w:val="FFFFFF" w:themeColor="background1"/>
              </w:rPr>
              <w:t>Recommendations</w:t>
            </w:r>
          </w:p>
        </w:tc>
      </w:tr>
      <w:tr w:rsidR="001C57BC" w:rsidTr="00496C61">
        <w:tc>
          <w:tcPr>
            <w:tcW w:w="2410" w:type="dxa"/>
          </w:tcPr>
          <w:p w:rsidR="001C57BC" w:rsidRPr="00B74303" w:rsidRDefault="001C57BC" w:rsidP="001C57BC">
            <w:pPr>
              <w:rPr>
                <w:rFonts w:cs="Arial"/>
                <w:b/>
                <w:bCs/>
                <w:sz w:val="24"/>
                <w:szCs w:val="24"/>
              </w:rPr>
            </w:pPr>
            <w:r w:rsidRPr="00B74303">
              <w:rPr>
                <w:rFonts w:cs="Arial"/>
                <w:b/>
                <w:sz w:val="24"/>
                <w:szCs w:val="24"/>
              </w:rPr>
              <w:t>Virtual Services</w:t>
            </w:r>
          </w:p>
        </w:tc>
        <w:tc>
          <w:tcPr>
            <w:tcW w:w="3686" w:type="dxa"/>
          </w:tcPr>
          <w:p w:rsidR="001C57BC" w:rsidRPr="00B74303" w:rsidRDefault="001C57BC" w:rsidP="001C57BC">
            <w:pPr>
              <w:pStyle w:val="ListParagraph"/>
              <w:ind w:left="0"/>
              <w:rPr>
                <w:rFonts w:cs="Arial"/>
                <w:bCs/>
                <w:sz w:val="24"/>
                <w:szCs w:val="24"/>
              </w:rPr>
            </w:pPr>
            <w:r w:rsidRPr="00B74303">
              <w:rPr>
                <w:rFonts w:cs="Arial"/>
                <w:bCs/>
                <w:sz w:val="24"/>
                <w:szCs w:val="24"/>
              </w:rPr>
              <w:t>Virtual services such as website or Facebook views should only be counted as service delivery where they can be directly linked to clients, and expected to lead to a measurable outcome.</w:t>
            </w:r>
          </w:p>
          <w:p w:rsidR="001C57BC" w:rsidRPr="00B74303" w:rsidRDefault="001C57BC" w:rsidP="001C57BC">
            <w:pPr>
              <w:pStyle w:val="ListParagraph"/>
              <w:ind w:left="0"/>
              <w:rPr>
                <w:rFonts w:cs="Arial"/>
                <w:bCs/>
                <w:sz w:val="24"/>
                <w:szCs w:val="24"/>
              </w:rPr>
            </w:pPr>
          </w:p>
          <w:p w:rsidR="001C57BC" w:rsidRPr="00B74303" w:rsidRDefault="001C57BC" w:rsidP="001C57BC">
            <w:pPr>
              <w:pStyle w:val="ListParagraph"/>
              <w:ind w:left="0"/>
              <w:rPr>
                <w:rFonts w:cs="Arial"/>
                <w:bCs/>
                <w:sz w:val="24"/>
                <w:szCs w:val="24"/>
              </w:rPr>
            </w:pPr>
            <w:r w:rsidRPr="00B74303">
              <w:rPr>
                <w:rFonts w:cs="Arial"/>
                <w:bCs/>
                <w:sz w:val="24"/>
                <w:szCs w:val="24"/>
              </w:rPr>
              <w:t xml:space="preserve">Virtual interactions must include two-way engagement with the client/s </w:t>
            </w:r>
          </w:p>
          <w:p w:rsidR="001C57BC" w:rsidRPr="00B74303" w:rsidRDefault="001C57BC" w:rsidP="001C57BC">
            <w:pPr>
              <w:pStyle w:val="ListParagraph"/>
              <w:ind w:left="0"/>
              <w:rPr>
                <w:rFonts w:cs="Arial"/>
                <w:bCs/>
                <w:sz w:val="24"/>
                <w:szCs w:val="24"/>
              </w:rPr>
            </w:pPr>
          </w:p>
          <w:p w:rsidR="001C57BC" w:rsidRPr="00B74303" w:rsidRDefault="001C57BC" w:rsidP="001C57BC">
            <w:pPr>
              <w:pStyle w:val="ListParagraph"/>
              <w:ind w:left="0"/>
              <w:rPr>
                <w:rFonts w:cs="Arial"/>
                <w:bCs/>
                <w:sz w:val="24"/>
                <w:szCs w:val="24"/>
              </w:rPr>
            </w:pPr>
            <w:r w:rsidRPr="00B74303">
              <w:rPr>
                <w:rFonts w:cs="Arial"/>
                <w:bCs/>
                <w:sz w:val="24"/>
                <w:szCs w:val="24"/>
              </w:rPr>
              <w:t>Questions you can ask to help you clarify:</w:t>
            </w:r>
          </w:p>
          <w:p w:rsidR="001C57BC" w:rsidRPr="00B74303" w:rsidRDefault="001C57BC" w:rsidP="001C57BC">
            <w:pPr>
              <w:pStyle w:val="ListParagraph"/>
              <w:numPr>
                <w:ilvl w:val="0"/>
                <w:numId w:val="11"/>
              </w:numPr>
              <w:ind w:left="458"/>
              <w:rPr>
                <w:rFonts w:cs="Arial"/>
                <w:bCs/>
                <w:sz w:val="24"/>
                <w:szCs w:val="24"/>
              </w:rPr>
            </w:pPr>
            <w:r w:rsidRPr="00B74303">
              <w:rPr>
                <w:rFonts w:cs="Arial"/>
                <w:bCs/>
                <w:sz w:val="24"/>
                <w:szCs w:val="24"/>
              </w:rPr>
              <w:t xml:space="preserve">Can the client ask questions or seek assistance in real time? </w:t>
            </w:r>
          </w:p>
          <w:p w:rsidR="001C57BC" w:rsidRPr="00B74303" w:rsidRDefault="001C57BC" w:rsidP="001C57BC">
            <w:pPr>
              <w:pStyle w:val="ListParagraph"/>
              <w:numPr>
                <w:ilvl w:val="0"/>
                <w:numId w:val="11"/>
              </w:numPr>
              <w:ind w:left="458"/>
              <w:rPr>
                <w:rFonts w:cs="Arial"/>
                <w:bCs/>
                <w:sz w:val="24"/>
                <w:szCs w:val="24"/>
              </w:rPr>
            </w:pPr>
            <w:r w:rsidRPr="00B74303">
              <w:rPr>
                <w:rFonts w:cs="Arial"/>
                <w:bCs/>
                <w:sz w:val="24"/>
                <w:szCs w:val="24"/>
              </w:rPr>
              <w:t xml:space="preserve">Can you accurately monitor how many people are attending a session? </w:t>
            </w:r>
          </w:p>
          <w:p w:rsidR="001C57BC" w:rsidRPr="00B74303" w:rsidRDefault="001C57BC" w:rsidP="001C57BC">
            <w:pPr>
              <w:pStyle w:val="ListParagraph"/>
              <w:numPr>
                <w:ilvl w:val="0"/>
                <w:numId w:val="11"/>
              </w:numPr>
              <w:ind w:left="458"/>
              <w:rPr>
                <w:rFonts w:cs="Arial"/>
                <w:bCs/>
                <w:sz w:val="24"/>
                <w:szCs w:val="24"/>
              </w:rPr>
            </w:pPr>
            <w:r w:rsidRPr="00B74303">
              <w:rPr>
                <w:rFonts w:cs="Arial"/>
                <w:bCs/>
                <w:sz w:val="24"/>
                <w:szCs w:val="24"/>
              </w:rPr>
              <w:t>How do you know an individual client has engaged with the content?</w:t>
            </w:r>
          </w:p>
          <w:p w:rsidR="001C57BC" w:rsidRPr="00B74303" w:rsidRDefault="001C57BC" w:rsidP="001C57BC">
            <w:pPr>
              <w:pStyle w:val="ListParagraph"/>
              <w:numPr>
                <w:ilvl w:val="0"/>
                <w:numId w:val="11"/>
              </w:numPr>
              <w:ind w:left="458"/>
              <w:rPr>
                <w:rFonts w:cs="Arial"/>
                <w:bCs/>
                <w:sz w:val="24"/>
                <w:szCs w:val="24"/>
              </w:rPr>
            </w:pPr>
            <w:r w:rsidRPr="00B74303">
              <w:rPr>
                <w:rFonts w:cs="Arial"/>
                <w:bCs/>
                <w:sz w:val="24"/>
                <w:szCs w:val="24"/>
              </w:rPr>
              <w:t>Can yo</w:t>
            </w:r>
            <w:bookmarkStart w:id="0" w:name="_GoBack"/>
            <w:bookmarkEnd w:id="0"/>
            <w:r w:rsidRPr="00B74303">
              <w:rPr>
                <w:rFonts w:cs="Arial"/>
                <w:bCs/>
                <w:sz w:val="24"/>
                <w:szCs w:val="24"/>
              </w:rPr>
              <w:t>u measure the outcome that occurred as a result of the session?</w:t>
            </w:r>
          </w:p>
          <w:p w:rsidR="001C57BC" w:rsidRPr="00B74303" w:rsidRDefault="001C57BC" w:rsidP="001C57BC">
            <w:pPr>
              <w:pStyle w:val="ListParagraph"/>
              <w:ind w:left="309"/>
              <w:rPr>
                <w:rFonts w:cs="Arial"/>
                <w:bCs/>
                <w:sz w:val="24"/>
                <w:szCs w:val="24"/>
              </w:rPr>
            </w:pPr>
          </w:p>
          <w:p w:rsidR="001C57BC" w:rsidRPr="00B74303" w:rsidRDefault="001C57BC" w:rsidP="001C57BC">
            <w:pPr>
              <w:pStyle w:val="ListParagraph"/>
              <w:ind w:left="309"/>
              <w:rPr>
                <w:rFonts w:cs="Arial"/>
                <w:bCs/>
                <w:sz w:val="24"/>
                <w:szCs w:val="24"/>
              </w:rPr>
            </w:pPr>
          </w:p>
          <w:p w:rsidR="001C57BC" w:rsidRPr="00B74303" w:rsidRDefault="001C57BC" w:rsidP="001C57BC">
            <w:pPr>
              <w:pStyle w:val="ListParagraph"/>
              <w:ind w:left="309"/>
              <w:rPr>
                <w:rFonts w:cs="Arial"/>
                <w:bCs/>
                <w:sz w:val="24"/>
                <w:szCs w:val="24"/>
              </w:rPr>
            </w:pPr>
          </w:p>
        </w:tc>
        <w:tc>
          <w:tcPr>
            <w:tcW w:w="5528" w:type="dxa"/>
          </w:tcPr>
          <w:p w:rsidR="001C57BC" w:rsidRPr="00B74303" w:rsidRDefault="001C57BC" w:rsidP="001C57BC">
            <w:pPr>
              <w:rPr>
                <w:rFonts w:cs="Arial"/>
                <w:bCs/>
                <w:sz w:val="24"/>
                <w:szCs w:val="24"/>
              </w:rPr>
            </w:pPr>
            <w:r w:rsidRPr="00B74303">
              <w:rPr>
                <w:rFonts w:cs="Arial"/>
                <w:bCs/>
                <w:i/>
                <w:sz w:val="24"/>
                <w:szCs w:val="24"/>
                <w:u w:val="single"/>
              </w:rPr>
              <w:t>Scenario 1:</w:t>
            </w:r>
            <w:r w:rsidRPr="00B74303">
              <w:rPr>
                <w:rFonts w:cs="Arial"/>
                <w:bCs/>
                <w:sz w:val="24"/>
                <w:szCs w:val="24"/>
              </w:rPr>
              <w:t xml:space="preserve"> Your organisation has uploaded a pre-recorded video to your website on parenting. Clients do not need to register to view the video and there is no 2-way interaction with viewers. </w:t>
            </w:r>
          </w:p>
          <w:p w:rsidR="001C57BC" w:rsidRPr="00B74303" w:rsidRDefault="001C57BC" w:rsidP="001C57BC">
            <w:pPr>
              <w:pStyle w:val="ListParagraph"/>
              <w:ind w:left="309"/>
              <w:rPr>
                <w:rFonts w:cs="Arial"/>
                <w:bCs/>
                <w:sz w:val="24"/>
                <w:szCs w:val="24"/>
              </w:rPr>
            </w:pPr>
          </w:p>
          <w:p w:rsidR="001C57BC" w:rsidRPr="00B74303" w:rsidRDefault="001C57BC" w:rsidP="001C57BC">
            <w:pPr>
              <w:pStyle w:val="ListParagraph"/>
              <w:ind w:left="28"/>
              <w:rPr>
                <w:rFonts w:cs="Arial"/>
                <w:bCs/>
                <w:i/>
                <w:sz w:val="24"/>
                <w:szCs w:val="24"/>
              </w:rPr>
            </w:pPr>
            <w:r w:rsidRPr="00B74303">
              <w:rPr>
                <w:rFonts w:ascii="Segoe UI Symbol" w:hAnsi="Segoe UI Symbol" w:cs="Segoe UI Symbol"/>
                <w:bCs/>
                <w:color w:val="FF0000"/>
                <w:sz w:val="24"/>
                <w:szCs w:val="24"/>
              </w:rPr>
              <w:t>✖</w:t>
            </w:r>
            <w:r w:rsidRPr="00B74303">
              <w:rPr>
                <w:rFonts w:cs="Arial"/>
                <w:bCs/>
                <w:sz w:val="24"/>
                <w:szCs w:val="24"/>
              </w:rPr>
              <w:t xml:space="preserve"> </w:t>
            </w:r>
            <w:r w:rsidRPr="00B74303">
              <w:rPr>
                <w:rFonts w:cs="Arial"/>
                <w:bCs/>
                <w:i/>
                <w:sz w:val="24"/>
                <w:szCs w:val="24"/>
              </w:rPr>
              <w:t xml:space="preserve">Do not record this in the Data Exchange as you </w:t>
            </w:r>
            <w:r w:rsidR="00061097" w:rsidRPr="00B74303">
              <w:rPr>
                <w:rFonts w:cs="Arial"/>
                <w:bCs/>
                <w:i/>
                <w:sz w:val="24"/>
                <w:szCs w:val="24"/>
              </w:rPr>
              <w:t>cannot</w:t>
            </w:r>
            <w:r w:rsidRPr="00B74303">
              <w:rPr>
                <w:rFonts w:cs="Arial"/>
                <w:bCs/>
                <w:i/>
                <w:sz w:val="24"/>
                <w:szCs w:val="24"/>
              </w:rPr>
              <w:t xml:space="preserve"> measure what the outcome may have been</w:t>
            </w:r>
            <w:r w:rsidRPr="00B74303">
              <w:rPr>
                <w:rFonts w:cs="Arial"/>
                <w:bCs/>
                <w:sz w:val="24"/>
                <w:szCs w:val="24"/>
              </w:rPr>
              <w:t xml:space="preserve">. </w:t>
            </w:r>
            <w:r w:rsidRPr="00B74303">
              <w:rPr>
                <w:rFonts w:cs="Arial"/>
                <w:bCs/>
                <w:i/>
                <w:sz w:val="24"/>
                <w:szCs w:val="24"/>
              </w:rPr>
              <w:t>There is also no accurate way of capturing how many clients actually watched it.</w:t>
            </w:r>
          </w:p>
          <w:p w:rsidR="001C57BC" w:rsidRPr="00B74303" w:rsidRDefault="001C57BC" w:rsidP="001C57BC">
            <w:pPr>
              <w:pStyle w:val="ListParagraph"/>
              <w:ind w:left="309"/>
              <w:rPr>
                <w:rFonts w:cs="Arial"/>
                <w:bCs/>
                <w:sz w:val="24"/>
                <w:szCs w:val="24"/>
              </w:rPr>
            </w:pPr>
          </w:p>
          <w:p w:rsidR="001C57BC" w:rsidRPr="00B74303" w:rsidRDefault="001C57BC" w:rsidP="001C57BC">
            <w:pPr>
              <w:rPr>
                <w:rFonts w:cs="Arial"/>
                <w:bCs/>
                <w:sz w:val="24"/>
                <w:szCs w:val="24"/>
              </w:rPr>
            </w:pPr>
            <w:r w:rsidRPr="00B74303">
              <w:rPr>
                <w:rFonts w:cs="Arial"/>
                <w:bCs/>
                <w:i/>
                <w:sz w:val="24"/>
                <w:szCs w:val="24"/>
                <w:u w:val="single"/>
              </w:rPr>
              <w:t>Scenario 2:</w:t>
            </w:r>
            <w:r w:rsidRPr="00B74303">
              <w:rPr>
                <w:rFonts w:cs="Arial"/>
                <w:bCs/>
                <w:sz w:val="24"/>
                <w:szCs w:val="24"/>
              </w:rPr>
              <w:t xml:space="preserve"> Tarik logged into a Zoom online parenting session where he could ask questions about his situation, seek clarification and participate in discussions with other participants. Tarik registered for the session.</w:t>
            </w:r>
          </w:p>
          <w:p w:rsidR="001C57BC" w:rsidRPr="00B74303" w:rsidRDefault="001C57BC" w:rsidP="001C57BC">
            <w:pPr>
              <w:pStyle w:val="ListParagraph"/>
              <w:ind w:left="309"/>
              <w:rPr>
                <w:rFonts w:cs="Arial"/>
                <w:bCs/>
                <w:sz w:val="24"/>
                <w:szCs w:val="24"/>
              </w:rPr>
            </w:pPr>
          </w:p>
          <w:p w:rsidR="001C57BC" w:rsidRPr="00B74303" w:rsidRDefault="001C57BC" w:rsidP="001C57BC">
            <w:pPr>
              <w:pStyle w:val="ListParagraph"/>
              <w:ind w:left="28"/>
              <w:rPr>
                <w:rFonts w:cs="Arial"/>
                <w:bCs/>
                <w:sz w:val="24"/>
                <w:szCs w:val="24"/>
              </w:rPr>
            </w:pPr>
            <w:r w:rsidRPr="00B74303">
              <w:rPr>
                <w:rFonts w:ascii="Segoe UI Symbol" w:hAnsi="Segoe UI Symbol" w:cs="Segoe UI Symbol"/>
                <w:b/>
                <w:bCs/>
                <w:color w:val="00B050"/>
                <w:sz w:val="24"/>
                <w:szCs w:val="24"/>
              </w:rPr>
              <w:t>✔</w:t>
            </w:r>
            <w:r w:rsidRPr="00B74303">
              <w:rPr>
                <w:rFonts w:cs="Arial"/>
                <w:bCs/>
                <w:sz w:val="24"/>
                <w:szCs w:val="24"/>
              </w:rPr>
              <w:t xml:space="preserve"> </w:t>
            </w:r>
            <w:r w:rsidRPr="00B74303">
              <w:rPr>
                <w:rFonts w:cs="Arial"/>
                <w:bCs/>
                <w:i/>
                <w:sz w:val="24"/>
                <w:szCs w:val="24"/>
              </w:rPr>
              <w:t>Record this interaction in the Data Exchange as the session will lead to a measurable outcome for Tarik and his attendance can be accurately captured</w:t>
            </w:r>
            <w:r w:rsidRPr="00B74303">
              <w:rPr>
                <w:rFonts w:cs="Arial"/>
                <w:bCs/>
                <w:sz w:val="24"/>
                <w:szCs w:val="24"/>
              </w:rPr>
              <w:t>.</w:t>
            </w:r>
          </w:p>
          <w:p w:rsidR="001C57BC" w:rsidRPr="00B74303" w:rsidRDefault="001C57BC" w:rsidP="001C57BC">
            <w:pPr>
              <w:rPr>
                <w:rFonts w:cs="Arial"/>
                <w:bCs/>
                <w:sz w:val="24"/>
                <w:szCs w:val="24"/>
              </w:rPr>
            </w:pPr>
          </w:p>
          <w:p w:rsidR="001C57BC" w:rsidRPr="00B74303" w:rsidRDefault="001C57BC" w:rsidP="001C57BC">
            <w:pPr>
              <w:rPr>
                <w:rFonts w:cs="Arial"/>
                <w:bCs/>
                <w:sz w:val="24"/>
                <w:szCs w:val="24"/>
              </w:rPr>
            </w:pPr>
            <w:r w:rsidRPr="00B74303">
              <w:rPr>
                <w:rFonts w:cs="Arial"/>
                <w:bCs/>
                <w:i/>
                <w:sz w:val="24"/>
                <w:szCs w:val="24"/>
                <w:u w:val="single"/>
              </w:rPr>
              <w:t>Scenario 3:</w:t>
            </w:r>
            <w:r w:rsidRPr="00B74303">
              <w:rPr>
                <w:rFonts w:cs="Arial"/>
                <w:bCs/>
                <w:sz w:val="24"/>
                <w:szCs w:val="24"/>
              </w:rPr>
              <w:t xml:space="preserve">  Your organisation posts a Facebook feed targeting fathers. Forty people click on the link that takes them to an information sheet with some parenting tips and information about an upcoming course.</w:t>
            </w:r>
          </w:p>
          <w:p w:rsidR="001C57BC" w:rsidRPr="00B74303" w:rsidRDefault="001C57BC" w:rsidP="001C57BC">
            <w:pPr>
              <w:pStyle w:val="ListParagraph"/>
              <w:ind w:left="312"/>
              <w:rPr>
                <w:rFonts w:cs="Arial"/>
                <w:bCs/>
                <w:sz w:val="24"/>
                <w:szCs w:val="24"/>
              </w:rPr>
            </w:pPr>
          </w:p>
          <w:p w:rsidR="00ED1A57" w:rsidRPr="005A202F" w:rsidRDefault="001C57BC" w:rsidP="005A202F">
            <w:pPr>
              <w:pStyle w:val="ListParagraph"/>
              <w:ind w:left="28"/>
              <w:rPr>
                <w:rFonts w:cs="Arial"/>
                <w:bCs/>
                <w:i/>
                <w:sz w:val="24"/>
                <w:szCs w:val="24"/>
              </w:rPr>
            </w:pPr>
            <w:r w:rsidRPr="00B74303">
              <w:rPr>
                <w:rFonts w:ascii="Segoe UI Symbol" w:hAnsi="Segoe UI Symbol" w:cs="Segoe UI Symbol"/>
                <w:bCs/>
                <w:color w:val="FF0000"/>
                <w:sz w:val="24"/>
                <w:szCs w:val="24"/>
              </w:rPr>
              <w:t>✖</w:t>
            </w:r>
            <w:r w:rsidRPr="00B74303">
              <w:rPr>
                <w:rFonts w:cs="Arial"/>
                <w:bCs/>
                <w:sz w:val="24"/>
                <w:szCs w:val="24"/>
              </w:rPr>
              <w:t xml:space="preserve"> </w:t>
            </w:r>
            <w:r w:rsidRPr="00B74303">
              <w:rPr>
                <w:rFonts w:cs="Arial"/>
                <w:bCs/>
                <w:i/>
                <w:sz w:val="24"/>
                <w:szCs w:val="24"/>
              </w:rPr>
              <w:t xml:space="preserve">Do not record this in the Data Exchange as no outcome </w:t>
            </w:r>
            <w:proofErr w:type="gramStart"/>
            <w:r w:rsidRPr="00B74303">
              <w:rPr>
                <w:rFonts w:cs="Arial"/>
                <w:bCs/>
                <w:i/>
                <w:sz w:val="24"/>
                <w:szCs w:val="24"/>
              </w:rPr>
              <w:t>can be measured</w:t>
            </w:r>
            <w:proofErr w:type="gramEnd"/>
            <w:r w:rsidRPr="00B74303">
              <w:rPr>
                <w:rFonts w:cs="Arial"/>
                <w:bCs/>
                <w:i/>
                <w:sz w:val="24"/>
                <w:szCs w:val="24"/>
              </w:rPr>
              <w:t xml:space="preserve"> at this stage.</w:t>
            </w:r>
          </w:p>
        </w:tc>
        <w:tc>
          <w:tcPr>
            <w:tcW w:w="4961" w:type="dxa"/>
          </w:tcPr>
          <w:p w:rsidR="001C57BC" w:rsidRPr="00B74303" w:rsidRDefault="001C57BC" w:rsidP="001C57BC">
            <w:pPr>
              <w:pStyle w:val="ListParagraph"/>
              <w:numPr>
                <w:ilvl w:val="0"/>
                <w:numId w:val="13"/>
              </w:numPr>
              <w:ind w:left="356"/>
              <w:rPr>
                <w:rFonts w:cs="Arial"/>
                <w:bCs/>
                <w:sz w:val="24"/>
                <w:szCs w:val="24"/>
              </w:rPr>
            </w:pPr>
            <w:r w:rsidRPr="00B74303">
              <w:rPr>
                <w:rFonts w:cs="Arial"/>
                <w:bCs/>
                <w:sz w:val="24"/>
                <w:szCs w:val="24"/>
              </w:rPr>
              <w:t xml:space="preserve">The interaction must lead to a measurable outcome in order for it to </w:t>
            </w:r>
            <w:proofErr w:type="gramStart"/>
            <w:r w:rsidRPr="00B74303">
              <w:rPr>
                <w:rFonts w:cs="Arial"/>
                <w:bCs/>
                <w:sz w:val="24"/>
                <w:szCs w:val="24"/>
              </w:rPr>
              <w:t>be recorded</w:t>
            </w:r>
            <w:proofErr w:type="gramEnd"/>
            <w:r w:rsidRPr="00B74303">
              <w:rPr>
                <w:rFonts w:cs="Arial"/>
                <w:bCs/>
                <w:sz w:val="24"/>
                <w:szCs w:val="24"/>
              </w:rPr>
              <w:t xml:space="preserve"> in the Data Exchange.</w:t>
            </w:r>
          </w:p>
          <w:p w:rsidR="001C57BC" w:rsidRPr="00B74303" w:rsidRDefault="001C57BC" w:rsidP="001C57BC">
            <w:pPr>
              <w:pStyle w:val="ListParagraph"/>
              <w:ind w:left="356"/>
              <w:rPr>
                <w:rFonts w:cs="Arial"/>
                <w:bCs/>
                <w:sz w:val="24"/>
                <w:szCs w:val="24"/>
              </w:rPr>
            </w:pPr>
          </w:p>
          <w:p w:rsidR="001C57BC" w:rsidRPr="00B74303" w:rsidRDefault="001C57BC" w:rsidP="001C57BC">
            <w:pPr>
              <w:pStyle w:val="ListParagraph"/>
              <w:numPr>
                <w:ilvl w:val="0"/>
                <w:numId w:val="13"/>
              </w:numPr>
              <w:ind w:left="356"/>
              <w:rPr>
                <w:rFonts w:cs="Arial"/>
                <w:bCs/>
                <w:sz w:val="24"/>
                <w:szCs w:val="24"/>
              </w:rPr>
            </w:pPr>
            <w:r w:rsidRPr="00B74303">
              <w:rPr>
                <w:rFonts w:cs="Arial"/>
                <w:bCs/>
                <w:sz w:val="24"/>
                <w:szCs w:val="24"/>
              </w:rPr>
              <w:t>Where possible, capture information about individual clients. Where this is not possible, record clients as ‘unidentified’.</w:t>
            </w:r>
          </w:p>
          <w:p w:rsidR="001C57BC" w:rsidRPr="00B74303" w:rsidRDefault="001C57BC" w:rsidP="001C57BC">
            <w:pPr>
              <w:pStyle w:val="ListParagraph"/>
              <w:ind w:left="356"/>
              <w:rPr>
                <w:rFonts w:cs="Arial"/>
                <w:bCs/>
                <w:sz w:val="24"/>
                <w:szCs w:val="24"/>
              </w:rPr>
            </w:pPr>
          </w:p>
          <w:p w:rsidR="001C57BC" w:rsidRPr="00B74303" w:rsidRDefault="001C57BC" w:rsidP="001C57BC">
            <w:pPr>
              <w:pStyle w:val="ListParagraph"/>
              <w:numPr>
                <w:ilvl w:val="0"/>
                <w:numId w:val="13"/>
              </w:numPr>
              <w:ind w:left="356"/>
              <w:rPr>
                <w:rFonts w:cs="Arial"/>
                <w:bCs/>
                <w:sz w:val="24"/>
                <w:szCs w:val="24"/>
              </w:rPr>
            </w:pPr>
            <w:r w:rsidRPr="00B74303">
              <w:rPr>
                <w:rFonts w:cs="Arial"/>
                <w:bCs/>
                <w:sz w:val="24"/>
                <w:szCs w:val="24"/>
              </w:rPr>
              <w:t xml:space="preserve">Record outlets as the outlet from which the staff member would usually work. </w:t>
            </w:r>
            <w:r w:rsidRPr="00B74303">
              <w:rPr>
                <w:rFonts w:cs="Arial"/>
                <w:bCs/>
                <w:color w:val="FF0000"/>
                <w:sz w:val="24"/>
                <w:szCs w:val="24"/>
              </w:rPr>
              <w:t>Please do not add a personal home address as an outlet.</w:t>
            </w:r>
          </w:p>
          <w:p w:rsidR="001C57BC" w:rsidRPr="00B74303" w:rsidRDefault="001C57BC" w:rsidP="001C57BC">
            <w:pPr>
              <w:pStyle w:val="ListParagraph"/>
              <w:ind w:left="356"/>
              <w:rPr>
                <w:rFonts w:cs="Arial"/>
                <w:bCs/>
                <w:sz w:val="24"/>
                <w:szCs w:val="24"/>
              </w:rPr>
            </w:pPr>
          </w:p>
          <w:p w:rsidR="001C57BC" w:rsidRPr="00B74303" w:rsidRDefault="001C57BC" w:rsidP="001C57BC">
            <w:pPr>
              <w:pStyle w:val="ListParagraph"/>
              <w:numPr>
                <w:ilvl w:val="0"/>
                <w:numId w:val="13"/>
              </w:numPr>
              <w:ind w:left="356"/>
              <w:rPr>
                <w:rFonts w:cs="Arial"/>
                <w:bCs/>
                <w:sz w:val="24"/>
                <w:szCs w:val="24"/>
              </w:rPr>
            </w:pPr>
            <w:r w:rsidRPr="00B74303">
              <w:rPr>
                <w:rFonts w:cs="Arial"/>
                <w:bCs/>
                <w:sz w:val="24"/>
                <w:szCs w:val="24"/>
              </w:rPr>
              <w:t>Use the ‘Service Setting’ field to record how you delivered the service. (Video)</w:t>
            </w:r>
          </w:p>
          <w:p w:rsidR="001C57BC" w:rsidRPr="00B74303" w:rsidRDefault="001C57BC" w:rsidP="001C57BC">
            <w:pPr>
              <w:pStyle w:val="ListParagraph"/>
              <w:ind w:left="356"/>
              <w:rPr>
                <w:rFonts w:cs="Arial"/>
                <w:b/>
                <w:bCs/>
                <w:sz w:val="24"/>
                <w:szCs w:val="24"/>
              </w:rPr>
            </w:pPr>
          </w:p>
          <w:p w:rsidR="001C57BC" w:rsidRPr="00B74303" w:rsidRDefault="001C57BC" w:rsidP="001C57BC">
            <w:pPr>
              <w:pStyle w:val="ListParagraph"/>
              <w:numPr>
                <w:ilvl w:val="0"/>
                <w:numId w:val="13"/>
              </w:numPr>
              <w:ind w:left="356"/>
              <w:rPr>
                <w:rFonts w:cs="Arial"/>
                <w:bCs/>
                <w:sz w:val="24"/>
                <w:szCs w:val="24"/>
                <w:u w:val="single"/>
              </w:rPr>
            </w:pPr>
            <w:r w:rsidRPr="00B74303">
              <w:rPr>
                <w:rFonts w:cs="Arial"/>
                <w:sz w:val="24"/>
                <w:szCs w:val="24"/>
              </w:rPr>
              <w:t>If you are recording higher numbers of unidentified clients please contact/advi</w:t>
            </w:r>
            <w:r w:rsidRPr="00B74303">
              <w:rPr>
                <w:rFonts w:cs="Arial"/>
                <w:bCs/>
                <w:sz w:val="24"/>
                <w:szCs w:val="24"/>
              </w:rPr>
              <w:t xml:space="preserve">se </w:t>
            </w:r>
            <w:r w:rsidRPr="00B74303">
              <w:rPr>
                <w:rFonts w:cs="Arial"/>
                <w:sz w:val="24"/>
                <w:szCs w:val="24"/>
              </w:rPr>
              <w:t>your Funding Arrangement Manager in writing, outlining the data changes, prior to the close of the reporting period.</w:t>
            </w:r>
          </w:p>
          <w:p w:rsidR="001C57BC" w:rsidRPr="00B74303" w:rsidRDefault="001C57BC" w:rsidP="001C57BC">
            <w:pPr>
              <w:pStyle w:val="ListParagraph"/>
              <w:ind w:left="309"/>
              <w:rPr>
                <w:rFonts w:cs="Arial"/>
                <w:b/>
                <w:bCs/>
                <w:sz w:val="24"/>
                <w:szCs w:val="24"/>
              </w:rPr>
            </w:pPr>
          </w:p>
          <w:p w:rsidR="001C57BC" w:rsidRPr="00B74303" w:rsidRDefault="001C57BC" w:rsidP="001C57BC">
            <w:pPr>
              <w:pStyle w:val="ListParagraph"/>
              <w:ind w:left="309"/>
              <w:rPr>
                <w:rFonts w:cs="Arial"/>
                <w:b/>
                <w:bCs/>
                <w:sz w:val="24"/>
                <w:szCs w:val="24"/>
              </w:rPr>
            </w:pPr>
          </w:p>
        </w:tc>
      </w:tr>
      <w:tr w:rsidR="004A46C1" w:rsidTr="00496C61">
        <w:tc>
          <w:tcPr>
            <w:tcW w:w="2410" w:type="dxa"/>
          </w:tcPr>
          <w:p w:rsidR="004A46C1" w:rsidRPr="00B74303" w:rsidRDefault="004A46C1" w:rsidP="004A46C1">
            <w:pPr>
              <w:rPr>
                <w:rFonts w:cs="Arial"/>
                <w:sz w:val="24"/>
                <w:szCs w:val="24"/>
              </w:rPr>
            </w:pPr>
            <w:r w:rsidRPr="00B74303">
              <w:rPr>
                <w:rFonts w:cs="Arial"/>
                <w:b/>
                <w:sz w:val="24"/>
                <w:szCs w:val="24"/>
              </w:rPr>
              <w:lastRenderedPageBreak/>
              <w:t xml:space="preserve">Online </w:t>
            </w:r>
            <w:r w:rsidR="00306687">
              <w:rPr>
                <w:rFonts w:cs="Arial"/>
                <w:b/>
                <w:sz w:val="24"/>
                <w:szCs w:val="24"/>
              </w:rPr>
              <w:t>S</w:t>
            </w:r>
            <w:r w:rsidRPr="00B74303">
              <w:rPr>
                <w:rFonts w:cs="Arial"/>
                <w:b/>
                <w:sz w:val="24"/>
                <w:szCs w:val="24"/>
              </w:rPr>
              <w:t>ervices, Postal Services, Email</w:t>
            </w:r>
          </w:p>
          <w:p w:rsidR="004A46C1" w:rsidRPr="00B74303" w:rsidRDefault="004A46C1" w:rsidP="004A46C1">
            <w:pPr>
              <w:rPr>
                <w:rFonts w:cs="Arial"/>
                <w:sz w:val="24"/>
                <w:szCs w:val="24"/>
              </w:rPr>
            </w:pPr>
          </w:p>
        </w:tc>
        <w:tc>
          <w:tcPr>
            <w:tcW w:w="3686" w:type="dxa"/>
          </w:tcPr>
          <w:p w:rsidR="004A46C1" w:rsidRPr="00B74303" w:rsidRDefault="004A46C1" w:rsidP="004A46C1">
            <w:pPr>
              <w:rPr>
                <w:rFonts w:cs="Arial"/>
                <w:sz w:val="24"/>
                <w:szCs w:val="24"/>
              </w:rPr>
            </w:pPr>
            <w:r w:rsidRPr="00B74303">
              <w:rPr>
                <w:rFonts w:cs="Arial"/>
                <w:sz w:val="24"/>
                <w:szCs w:val="24"/>
              </w:rPr>
              <w:t xml:space="preserve">When clients </w:t>
            </w:r>
            <w:r w:rsidR="00024A92">
              <w:rPr>
                <w:rFonts w:cs="Arial"/>
                <w:sz w:val="24"/>
                <w:szCs w:val="24"/>
              </w:rPr>
              <w:t>engage</w:t>
            </w:r>
            <w:r w:rsidRPr="00B74303">
              <w:rPr>
                <w:rFonts w:cs="Arial"/>
                <w:sz w:val="24"/>
                <w:szCs w:val="24"/>
              </w:rPr>
              <w:t xml:space="preserve"> online with non-interactive resources or material is sent by post or email, it can be difficult to accurately determine how many clients engaged, and whether this material assisted them or changed their circumstances.</w:t>
            </w:r>
          </w:p>
          <w:p w:rsidR="004A46C1" w:rsidRPr="00B74303" w:rsidRDefault="004A46C1" w:rsidP="004A46C1">
            <w:pPr>
              <w:rPr>
                <w:rFonts w:cs="Arial"/>
                <w:sz w:val="24"/>
                <w:szCs w:val="24"/>
              </w:rPr>
            </w:pPr>
          </w:p>
          <w:p w:rsidR="004A46C1" w:rsidRPr="00B74303" w:rsidRDefault="004A46C1" w:rsidP="004A46C1">
            <w:pPr>
              <w:rPr>
                <w:rFonts w:cs="Arial"/>
                <w:sz w:val="24"/>
                <w:szCs w:val="24"/>
              </w:rPr>
            </w:pPr>
            <w:r w:rsidRPr="00B74303">
              <w:rPr>
                <w:rFonts w:cs="Arial"/>
                <w:sz w:val="24"/>
                <w:szCs w:val="24"/>
              </w:rPr>
              <w:t>If organisations provide follow up with clients such as:</w:t>
            </w:r>
          </w:p>
          <w:p w:rsidR="004A46C1" w:rsidRPr="00B74303" w:rsidRDefault="004A46C1" w:rsidP="00F24C06">
            <w:pPr>
              <w:pStyle w:val="ListParagraph"/>
              <w:numPr>
                <w:ilvl w:val="0"/>
                <w:numId w:val="7"/>
              </w:numPr>
              <w:ind w:left="452"/>
              <w:rPr>
                <w:rFonts w:cs="Arial"/>
                <w:sz w:val="24"/>
                <w:szCs w:val="24"/>
              </w:rPr>
            </w:pPr>
            <w:r w:rsidRPr="00B74303">
              <w:rPr>
                <w:rFonts w:cs="Arial"/>
                <w:sz w:val="24"/>
                <w:szCs w:val="24"/>
              </w:rPr>
              <w:t xml:space="preserve">a survey or questionnaire </w:t>
            </w:r>
          </w:p>
          <w:p w:rsidR="004A46C1" w:rsidRPr="00B74303" w:rsidRDefault="004A46C1" w:rsidP="00F24C06">
            <w:pPr>
              <w:pStyle w:val="ListParagraph"/>
              <w:numPr>
                <w:ilvl w:val="0"/>
                <w:numId w:val="7"/>
              </w:numPr>
              <w:ind w:left="452"/>
              <w:rPr>
                <w:rFonts w:cs="Arial"/>
                <w:sz w:val="24"/>
                <w:szCs w:val="24"/>
              </w:rPr>
            </w:pPr>
            <w:r w:rsidRPr="00B74303">
              <w:rPr>
                <w:rFonts w:cs="Arial"/>
                <w:sz w:val="24"/>
                <w:szCs w:val="24"/>
              </w:rPr>
              <w:t>telephone call to discuss the content</w:t>
            </w:r>
          </w:p>
          <w:p w:rsidR="004A46C1" w:rsidRPr="00B74303" w:rsidRDefault="004A46C1" w:rsidP="00F24C06">
            <w:pPr>
              <w:pStyle w:val="ListParagraph"/>
              <w:numPr>
                <w:ilvl w:val="0"/>
                <w:numId w:val="7"/>
              </w:numPr>
              <w:ind w:left="452"/>
              <w:rPr>
                <w:rFonts w:cs="Arial"/>
                <w:sz w:val="24"/>
                <w:szCs w:val="24"/>
              </w:rPr>
            </w:pPr>
            <w:r w:rsidRPr="00B74303">
              <w:rPr>
                <w:rFonts w:cs="Arial"/>
                <w:sz w:val="24"/>
                <w:szCs w:val="24"/>
              </w:rPr>
              <w:t>an activity workbook for clients to complete and return,</w:t>
            </w:r>
          </w:p>
          <w:p w:rsidR="004A46C1" w:rsidRPr="00B74303" w:rsidRDefault="004A46C1" w:rsidP="004A46C1">
            <w:pPr>
              <w:rPr>
                <w:rFonts w:cs="Arial"/>
                <w:sz w:val="24"/>
                <w:szCs w:val="24"/>
              </w:rPr>
            </w:pPr>
            <w:r w:rsidRPr="00B74303">
              <w:rPr>
                <w:rFonts w:cs="Arial"/>
                <w:sz w:val="24"/>
                <w:szCs w:val="24"/>
              </w:rPr>
              <w:t>then this will allow you to determine if the client has engaged with these non-interactive services in a meaningful way.</w:t>
            </w:r>
          </w:p>
          <w:p w:rsidR="004A46C1" w:rsidRPr="00B74303" w:rsidRDefault="004A46C1" w:rsidP="004A46C1">
            <w:pPr>
              <w:rPr>
                <w:rFonts w:cs="Arial"/>
                <w:sz w:val="24"/>
                <w:szCs w:val="24"/>
              </w:rPr>
            </w:pPr>
          </w:p>
          <w:p w:rsidR="004A46C1" w:rsidRPr="00B74303" w:rsidRDefault="004A46C1" w:rsidP="004A46C1">
            <w:pPr>
              <w:rPr>
                <w:rFonts w:cs="Arial"/>
                <w:sz w:val="24"/>
                <w:szCs w:val="24"/>
              </w:rPr>
            </w:pPr>
            <w:r w:rsidRPr="00B74303">
              <w:rPr>
                <w:rFonts w:cs="Arial"/>
                <w:sz w:val="24"/>
                <w:szCs w:val="24"/>
              </w:rPr>
              <w:t xml:space="preserve">Where clients have returned feedback, or participated in a discussion about the content, this can be reported as a session and service in the Data Exchange.  </w:t>
            </w:r>
          </w:p>
          <w:p w:rsidR="004A46C1" w:rsidRPr="00B74303" w:rsidRDefault="004A46C1" w:rsidP="004A46C1">
            <w:pPr>
              <w:rPr>
                <w:rFonts w:cs="Arial"/>
                <w:sz w:val="24"/>
                <w:szCs w:val="24"/>
              </w:rPr>
            </w:pPr>
          </w:p>
        </w:tc>
        <w:tc>
          <w:tcPr>
            <w:tcW w:w="5528" w:type="dxa"/>
          </w:tcPr>
          <w:p w:rsidR="004A46C1" w:rsidRPr="00B74303" w:rsidRDefault="004A46C1" w:rsidP="004A46C1">
            <w:pPr>
              <w:rPr>
                <w:rFonts w:cs="Arial"/>
                <w:sz w:val="24"/>
                <w:szCs w:val="24"/>
              </w:rPr>
            </w:pPr>
            <w:r w:rsidRPr="00B74303">
              <w:rPr>
                <w:rFonts w:cs="Arial"/>
                <w:i/>
                <w:sz w:val="24"/>
                <w:szCs w:val="24"/>
                <w:u w:val="single"/>
              </w:rPr>
              <w:t>Scenario 1:</w:t>
            </w:r>
            <w:r w:rsidRPr="00B74303">
              <w:rPr>
                <w:rFonts w:cs="Arial"/>
                <w:sz w:val="24"/>
                <w:szCs w:val="24"/>
              </w:rPr>
              <w:t xml:space="preserve"> Daisy receives her session pack via the post. This workshop was previously delivered face to face. Now it is delivered as a paper based workshop to be completed individually. As part of participating in this workshop, Daisy completes a workbook and sends it back.</w:t>
            </w:r>
          </w:p>
          <w:p w:rsidR="004A46C1" w:rsidRPr="00B74303" w:rsidRDefault="004A46C1" w:rsidP="004A46C1">
            <w:pPr>
              <w:rPr>
                <w:rFonts w:cs="Arial"/>
                <w:sz w:val="24"/>
                <w:szCs w:val="24"/>
              </w:rPr>
            </w:pPr>
          </w:p>
          <w:p w:rsidR="004A46C1" w:rsidRPr="00B74303" w:rsidRDefault="004A46C1" w:rsidP="004A46C1">
            <w:pPr>
              <w:rPr>
                <w:rFonts w:cs="Arial"/>
                <w:i/>
                <w:sz w:val="24"/>
                <w:szCs w:val="24"/>
              </w:rPr>
            </w:pPr>
            <w:r w:rsidRPr="00B74303">
              <w:rPr>
                <w:rFonts w:ascii="Segoe UI Symbol" w:hAnsi="Segoe UI Symbol" w:cs="Segoe UI Symbol"/>
                <w:b/>
                <w:color w:val="00B050"/>
                <w:sz w:val="24"/>
                <w:szCs w:val="24"/>
              </w:rPr>
              <w:t>✔</w:t>
            </w:r>
            <w:r w:rsidRPr="00B74303">
              <w:rPr>
                <w:rFonts w:cs="Arial"/>
                <w:b/>
                <w:color w:val="00B050"/>
                <w:sz w:val="24"/>
                <w:szCs w:val="24"/>
              </w:rPr>
              <w:t xml:space="preserve"> </w:t>
            </w:r>
            <w:r w:rsidRPr="00B74303">
              <w:rPr>
                <w:rFonts w:cs="Arial"/>
                <w:i/>
                <w:sz w:val="24"/>
                <w:szCs w:val="24"/>
              </w:rPr>
              <w:t>Record this in the Data Exchange as the activity workbook responses from Daisy allow you to see a measureable shift in her knowledge and understanding.</w:t>
            </w:r>
          </w:p>
          <w:p w:rsidR="004A46C1" w:rsidRPr="00B74303" w:rsidRDefault="004A46C1" w:rsidP="004A46C1">
            <w:pPr>
              <w:rPr>
                <w:rFonts w:cs="Arial"/>
                <w:i/>
                <w:sz w:val="24"/>
                <w:szCs w:val="24"/>
              </w:rPr>
            </w:pPr>
          </w:p>
          <w:p w:rsidR="004A46C1" w:rsidRPr="00B74303" w:rsidRDefault="004A46C1" w:rsidP="004A46C1">
            <w:pPr>
              <w:ind w:left="34" w:hanging="6"/>
              <w:rPr>
                <w:rFonts w:cs="Arial"/>
                <w:i/>
                <w:sz w:val="24"/>
                <w:szCs w:val="24"/>
              </w:rPr>
            </w:pPr>
            <w:r w:rsidRPr="00B74303">
              <w:rPr>
                <w:rFonts w:cs="Arial"/>
                <w:i/>
                <w:sz w:val="24"/>
                <w:szCs w:val="24"/>
                <w:u w:val="single"/>
              </w:rPr>
              <w:t>Scenario 2:</w:t>
            </w:r>
            <w:r w:rsidRPr="00B74303">
              <w:rPr>
                <w:rFonts w:cs="Arial"/>
                <w:i/>
                <w:sz w:val="24"/>
                <w:szCs w:val="24"/>
              </w:rPr>
              <w:t xml:space="preserve"> </w:t>
            </w:r>
            <w:r w:rsidRPr="00B74303">
              <w:rPr>
                <w:rFonts w:cs="Arial"/>
                <w:sz w:val="24"/>
                <w:szCs w:val="24"/>
              </w:rPr>
              <w:t>Damien participated in an online eLearning module. The module was self-paced and non-interactive. A survey was included at the conclusion of the module to gage the level of engagement, impact and satisfaction.</w:t>
            </w:r>
          </w:p>
          <w:p w:rsidR="004A46C1" w:rsidRPr="00B74303" w:rsidRDefault="004A46C1" w:rsidP="004A46C1">
            <w:pPr>
              <w:rPr>
                <w:rFonts w:cs="Arial"/>
                <w:sz w:val="24"/>
                <w:szCs w:val="24"/>
              </w:rPr>
            </w:pPr>
          </w:p>
          <w:p w:rsidR="004A46C1" w:rsidRPr="00B74303" w:rsidRDefault="004A46C1" w:rsidP="004A46C1">
            <w:pPr>
              <w:pStyle w:val="ListParagraph"/>
              <w:ind w:left="28"/>
              <w:rPr>
                <w:rFonts w:cs="Arial"/>
                <w:i/>
                <w:sz w:val="24"/>
                <w:szCs w:val="24"/>
              </w:rPr>
            </w:pPr>
            <w:r w:rsidRPr="00B74303">
              <w:rPr>
                <w:rFonts w:ascii="Segoe UI Symbol" w:hAnsi="Segoe UI Symbol" w:cs="Segoe UI Symbol"/>
                <w:b/>
                <w:color w:val="00B050"/>
                <w:sz w:val="24"/>
                <w:szCs w:val="24"/>
              </w:rPr>
              <w:t>✔</w:t>
            </w:r>
            <w:r w:rsidRPr="00B74303">
              <w:rPr>
                <w:rFonts w:cs="Arial"/>
                <w:b/>
                <w:color w:val="00B050"/>
                <w:sz w:val="24"/>
                <w:szCs w:val="24"/>
              </w:rPr>
              <w:t xml:space="preserve"> </w:t>
            </w:r>
            <w:r w:rsidRPr="00B74303">
              <w:rPr>
                <w:rFonts w:cs="Arial"/>
                <w:i/>
                <w:sz w:val="24"/>
                <w:szCs w:val="24"/>
              </w:rPr>
              <w:t>Record this in the Data Exchange as the eLearning module and survey responses from Damien allow you to see a measureable shift in his knowledge and understanding.</w:t>
            </w:r>
          </w:p>
          <w:p w:rsidR="004A46C1" w:rsidRPr="00B74303" w:rsidRDefault="004A46C1" w:rsidP="004A46C1">
            <w:pPr>
              <w:pStyle w:val="ListParagraph"/>
              <w:ind w:left="28"/>
              <w:rPr>
                <w:rFonts w:cs="Arial"/>
                <w:sz w:val="24"/>
                <w:szCs w:val="24"/>
              </w:rPr>
            </w:pPr>
          </w:p>
          <w:p w:rsidR="004A46C1" w:rsidRPr="00B74303" w:rsidRDefault="004A46C1" w:rsidP="004A46C1">
            <w:pPr>
              <w:pStyle w:val="ListParagraph"/>
              <w:ind w:left="28"/>
              <w:rPr>
                <w:rFonts w:cs="Arial"/>
                <w:sz w:val="24"/>
                <w:szCs w:val="24"/>
              </w:rPr>
            </w:pPr>
            <w:r w:rsidRPr="00B74303">
              <w:rPr>
                <w:rFonts w:cs="Arial"/>
                <w:i/>
                <w:sz w:val="24"/>
                <w:szCs w:val="24"/>
                <w:u w:val="single"/>
              </w:rPr>
              <w:t xml:space="preserve">Scenario 3: </w:t>
            </w:r>
            <w:r w:rsidRPr="00B74303">
              <w:rPr>
                <w:rFonts w:cs="Arial"/>
                <w:sz w:val="24"/>
                <w:szCs w:val="24"/>
              </w:rPr>
              <w:t xml:space="preserve">Your organisation sends out a weekly bulk email to your client list. As part of the content, the email includes tips and advice on how to manage their mental health and wellbeing. </w:t>
            </w:r>
          </w:p>
          <w:p w:rsidR="004A46C1" w:rsidRPr="00B74303" w:rsidRDefault="004A46C1" w:rsidP="004A46C1">
            <w:pPr>
              <w:pStyle w:val="ListParagraph"/>
              <w:ind w:left="28"/>
              <w:rPr>
                <w:rFonts w:cs="Arial"/>
                <w:sz w:val="24"/>
                <w:szCs w:val="24"/>
              </w:rPr>
            </w:pPr>
          </w:p>
          <w:p w:rsidR="004A46C1" w:rsidRPr="00B74303" w:rsidRDefault="004A46C1" w:rsidP="004A46C1">
            <w:pPr>
              <w:pStyle w:val="ListParagraph"/>
              <w:ind w:left="28"/>
              <w:rPr>
                <w:rFonts w:cs="Arial"/>
                <w:sz w:val="24"/>
                <w:szCs w:val="24"/>
              </w:rPr>
            </w:pPr>
            <w:r w:rsidRPr="00B74303">
              <w:rPr>
                <w:rFonts w:ascii="Segoe UI Symbol" w:hAnsi="Segoe UI Symbol" w:cs="Segoe UI Symbol"/>
                <w:b/>
                <w:color w:val="FF0000"/>
                <w:sz w:val="24"/>
                <w:szCs w:val="24"/>
              </w:rPr>
              <w:t>✖</w:t>
            </w:r>
            <w:r w:rsidRPr="00B74303">
              <w:rPr>
                <w:rFonts w:cs="Arial"/>
                <w:color w:val="FF0000"/>
                <w:sz w:val="24"/>
                <w:szCs w:val="24"/>
              </w:rPr>
              <w:t xml:space="preserve"> </w:t>
            </w:r>
            <w:r w:rsidRPr="00B74303">
              <w:rPr>
                <w:rFonts w:cs="Arial"/>
                <w:i/>
                <w:sz w:val="24"/>
                <w:szCs w:val="24"/>
              </w:rPr>
              <w:t>Do not record this in the Data Exchange as no outcome can be measured and there is no accurate way of determining who read the email.</w:t>
            </w:r>
          </w:p>
        </w:tc>
        <w:tc>
          <w:tcPr>
            <w:tcW w:w="4961" w:type="dxa"/>
          </w:tcPr>
          <w:p w:rsidR="004A46C1" w:rsidRPr="00F44944" w:rsidRDefault="004A46C1" w:rsidP="009875D1">
            <w:pPr>
              <w:pStyle w:val="ListParagraph"/>
              <w:numPr>
                <w:ilvl w:val="0"/>
                <w:numId w:val="14"/>
              </w:numPr>
              <w:ind w:left="315"/>
              <w:rPr>
                <w:rFonts w:cs="Arial"/>
                <w:sz w:val="24"/>
                <w:szCs w:val="24"/>
              </w:rPr>
            </w:pPr>
            <w:r w:rsidRPr="00F44944">
              <w:rPr>
                <w:rFonts w:cs="Arial"/>
                <w:sz w:val="24"/>
                <w:szCs w:val="24"/>
              </w:rPr>
              <w:t>The interaction must lead to a measurable outcome in order to be recorded in the Data Exchange.</w:t>
            </w:r>
          </w:p>
          <w:p w:rsidR="004A46C1" w:rsidRPr="00F44944" w:rsidRDefault="004A46C1" w:rsidP="009875D1">
            <w:pPr>
              <w:ind w:left="315"/>
              <w:rPr>
                <w:rFonts w:cs="Arial"/>
                <w:sz w:val="24"/>
                <w:szCs w:val="24"/>
              </w:rPr>
            </w:pPr>
          </w:p>
          <w:p w:rsidR="004A46C1" w:rsidRPr="00F44944" w:rsidRDefault="004A46C1" w:rsidP="009875D1">
            <w:pPr>
              <w:pStyle w:val="ListParagraph"/>
              <w:numPr>
                <w:ilvl w:val="0"/>
                <w:numId w:val="14"/>
              </w:numPr>
              <w:ind w:left="315"/>
              <w:rPr>
                <w:rFonts w:cs="Arial"/>
                <w:sz w:val="24"/>
                <w:szCs w:val="24"/>
              </w:rPr>
            </w:pPr>
            <w:r w:rsidRPr="00F44944">
              <w:rPr>
                <w:rFonts w:cs="Arial"/>
                <w:sz w:val="24"/>
                <w:szCs w:val="24"/>
              </w:rPr>
              <w:t>Where possible, capture information about your clients. Where this is not possible, record clients as ‘unidentified’.</w:t>
            </w:r>
          </w:p>
          <w:p w:rsidR="004A46C1" w:rsidRPr="00F44944" w:rsidRDefault="004A46C1" w:rsidP="009875D1">
            <w:pPr>
              <w:pStyle w:val="ListParagraph"/>
              <w:ind w:left="315"/>
              <w:rPr>
                <w:rFonts w:cs="Arial"/>
                <w:sz w:val="24"/>
                <w:szCs w:val="24"/>
              </w:rPr>
            </w:pPr>
          </w:p>
          <w:p w:rsidR="004A46C1" w:rsidRPr="00F44944" w:rsidRDefault="004A46C1" w:rsidP="009875D1">
            <w:pPr>
              <w:pStyle w:val="ListParagraph"/>
              <w:numPr>
                <w:ilvl w:val="0"/>
                <w:numId w:val="14"/>
              </w:numPr>
              <w:ind w:left="315"/>
              <w:rPr>
                <w:rFonts w:cs="Arial"/>
                <w:bCs/>
                <w:sz w:val="24"/>
                <w:szCs w:val="24"/>
              </w:rPr>
            </w:pPr>
            <w:r w:rsidRPr="00F44944">
              <w:rPr>
                <w:rFonts w:cs="Arial"/>
                <w:bCs/>
                <w:sz w:val="24"/>
                <w:szCs w:val="24"/>
              </w:rPr>
              <w:t>Use the ‘Service Setting’ field to record any online, non-interactive services. (Online</w:t>
            </w:r>
            <w:r w:rsidR="002F55D1" w:rsidRPr="00F44944">
              <w:rPr>
                <w:rFonts w:cs="Arial"/>
                <w:bCs/>
                <w:sz w:val="24"/>
                <w:szCs w:val="24"/>
              </w:rPr>
              <w:t xml:space="preserve"> service</w:t>
            </w:r>
            <w:r w:rsidRPr="00F44944">
              <w:rPr>
                <w:rFonts w:cs="Arial"/>
                <w:bCs/>
                <w:sz w:val="24"/>
                <w:szCs w:val="24"/>
              </w:rPr>
              <w:t>)</w:t>
            </w:r>
          </w:p>
          <w:p w:rsidR="004A46C1" w:rsidRPr="00F44944" w:rsidRDefault="004A46C1" w:rsidP="009875D1">
            <w:pPr>
              <w:pStyle w:val="ListParagraph"/>
              <w:ind w:left="315"/>
              <w:rPr>
                <w:rFonts w:cs="Arial"/>
                <w:sz w:val="24"/>
                <w:szCs w:val="24"/>
              </w:rPr>
            </w:pPr>
          </w:p>
          <w:p w:rsidR="004A46C1" w:rsidRPr="00F44944" w:rsidRDefault="004A46C1" w:rsidP="009875D1">
            <w:pPr>
              <w:pStyle w:val="ListParagraph"/>
              <w:numPr>
                <w:ilvl w:val="0"/>
                <w:numId w:val="14"/>
              </w:numPr>
              <w:ind w:left="315"/>
              <w:rPr>
                <w:rFonts w:cs="Arial"/>
                <w:sz w:val="24"/>
                <w:szCs w:val="24"/>
              </w:rPr>
            </w:pPr>
            <w:r w:rsidRPr="00F44944">
              <w:rPr>
                <w:rFonts w:cs="Arial"/>
                <w:sz w:val="24"/>
                <w:szCs w:val="24"/>
              </w:rPr>
              <w:t xml:space="preserve">Record outlets as the outlet from which the staff member would usually. </w:t>
            </w:r>
            <w:r w:rsidRPr="00F44944">
              <w:rPr>
                <w:rFonts w:cs="Arial"/>
                <w:color w:val="FF0000"/>
                <w:sz w:val="24"/>
                <w:szCs w:val="24"/>
              </w:rPr>
              <w:t>Please do not add a personal home address as an outlet.</w:t>
            </w:r>
          </w:p>
          <w:p w:rsidR="004A46C1" w:rsidRPr="00F44944" w:rsidRDefault="004A46C1" w:rsidP="009875D1">
            <w:pPr>
              <w:ind w:left="315"/>
              <w:rPr>
                <w:rFonts w:cs="Arial"/>
                <w:sz w:val="24"/>
                <w:szCs w:val="24"/>
              </w:rPr>
            </w:pPr>
          </w:p>
          <w:p w:rsidR="004A46C1" w:rsidRPr="00F44944" w:rsidRDefault="004A46C1" w:rsidP="009875D1">
            <w:pPr>
              <w:pStyle w:val="ListParagraph"/>
              <w:numPr>
                <w:ilvl w:val="0"/>
                <w:numId w:val="14"/>
              </w:numPr>
              <w:ind w:left="315"/>
              <w:rPr>
                <w:rFonts w:cs="Arial"/>
                <w:sz w:val="24"/>
                <w:szCs w:val="24"/>
              </w:rPr>
            </w:pPr>
            <w:r w:rsidRPr="00F44944">
              <w:rPr>
                <w:rFonts w:cs="Arial"/>
                <w:sz w:val="24"/>
                <w:szCs w:val="24"/>
              </w:rPr>
              <w:t>If you are recording higher numbers of unidentified clients please contact/advi</w:t>
            </w:r>
            <w:r w:rsidRPr="00F44944">
              <w:rPr>
                <w:rFonts w:cs="Arial"/>
                <w:bCs/>
                <w:sz w:val="24"/>
                <w:szCs w:val="24"/>
              </w:rPr>
              <w:t xml:space="preserve">se </w:t>
            </w:r>
            <w:r w:rsidRPr="00F44944">
              <w:rPr>
                <w:rFonts w:cs="Arial"/>
                <w:sz w:val="24"/>
                <w:szCs w:val="24"/>
              </w:rPr>
              <w:t>your Funding Arrangement Manager in writing, outlining the data changes, prior to the close of the reporting period.</w:t>
            </w:r>
          </w:p>
        </w:tc>
      </w:tr>
    </w:tbl>
    <w:p w:rsidR="00B13662" w:rsidRPr="00B13662" w:rsidRDefault="00B13662" w:rsidP="00E61A9A"/>
    <w:sectPr w:rsidR="00B13662" w:rsidRPr="00B13662" w:rsidSect="00496C61">
      <w:pgSz w:w="16838" w:h="11906" w:orient="landscape"/>
      <w:pgMar w:top="993" w:right="678" w:bottom="426" w:left="709"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75" w:rsidRDefault="007A1275" w:rsidP="00B04ED8">
      <w:pPr>
        <w:spacing w:after="0" w:line="240" w:lineRule="auto"/>
      </w:pPr>
      <w:r>
        <w:separator/>
      </w:r>
    </w:p>
  </w:endnote>
  <w:endnote w:type="continuationSeparator" w:id="0">
    <w:p w:rsidR="007A1275" w:rsidRDefault="007A127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1" w:rsidRDefault="004441A1">
    <w:pPr>
      <w:pStyle w:val="Footer"/>
    </w:pPr>
    <w:r>
      <w:rPr>
        <w:noProof/>
        <w:lang w:eastAsia="en-AU"/>
      </w:rPr>
      <mc:AlternateContent>
        <mc:Choice Requires="wps">
          <w:drawing>
            <wp:anchor distT="182880" distB="182880" distL="114300" distR="114300" simplePos="0" relativeHeight="251659264" behindDoc="0" locked="0" layoutInCell="1" allowOverlap="0" wp14:anchorId="3C7A987F" wp14:editId="18FFA3D9">
              <wp:simplePos x="0" y="0"/>
              <wp:positionH relativeFrom="page">
                <wp:posOffset>-212501</wp:posOffset>
              </wp:positionH>
              <wp:positionV relativeFrom="page">
                <wp:posOffset>7270124</wp:posOffset>
              </wp:positionV>
              <wp:extent cx="10888980" cy="389255"/>
              <wp:effectExtent l="0" t="0" r="7620" b="1079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10888980" cy="38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4" w:type="pct"/>
                            <w:tblCellMar>
                              <w:left w:w="0" w:type="dxa"/>
                              <w:right w:w="0" w:type="dxa"/>
                            </w:tblCellMar>
                            <w:tblLook w:val="04A0" w:firstRow="1" w:lastRow="0" w:firstColumn="1" w:lastColumn="0" w:noHBand="0" w:noVBand="1"/>
                            <w:tblDescription w:val="Footer content"/>
                          </w:tblPr>
                          <w:tblGrid>
                            <w:gridCol w:w="341"/>
                            <w:gridCol w:w="15949"/>
                            <w:gridCol w:w="793"/>
                          </w:tblGrid>
                          <w:tr w:rsidR="004441A1" w:rsidTr="00DF5000">
                            <w:trPr>
                              <w:trHeight w:hRule="exact" w:val="360"/>
                            </w:trPr>
                            <w:tc>
                              <w:tcPr>
                                <w:tcW w:w="100" w:type="pct"/>
                                <w:shd w:val="clear" w:color="auto" w:fill="205867" w:themeFill="accent1"/>
                                <w:vAlign w:val="center"/>
                              </w:tcPr>
                              <w:p w:rsidR="004441A1" w:rsidRDefault="004441A1">
                                <w:pPr>
                                  <w:pStyle w:val="Footer"/>
                                  <w:spacing w:before="40" w:after="40"/>
                                  <w:rPr>
                                    <w:color w:val="FFFFFF" w:themeColor="background1"/>
                                  </w:rPr>
                                </w:pPr>
                              </w:p>
                            </w:tc>
                            <w:tc>
                              <w:tcPr>
                                <w:tcW w:w="4667" w:type="pct"/>
                                <w:shd w:val="clear" w:color="auto" w:fill="215868" w:themeFill="accent5" w:themeFillShade="80"/>
                                <w:vAlign w:val="center"/>
                              </w:tcPr>
                              <w:p w:rsidR="004441A1" w:rsidRDefault="00496C61">
                                <w:pPr>
                                  <w:pStyle w:val="Footer"/>
                                  <w:spacing w:before="40" w:after="40"/>
                                  <w:ind w:left="144" w:right="144"/>
                                  <w:rPr>
                                    <w:color w:val="FFFFFF" w:themeColor="background1"/>
                                  </w:rPr>
                                </w:pPr>
                                <w:r>
                                  <w:rPr>
                                    <w:color w:val="FFFFFF" w:themeColor="background1"/>
                                  </w:rPr>
                                  <w:t>Version 1.2 February 2021</w:t>
                                </w:r>
                              </w:p>
                            </w:tc>
                            <w:tc>
                              <w:tcPr>
                                <w:tcW w:w="232" w:type="pct"/>
                                <w:shd w:val="clear" w:color="auto" w:fill="205867" w:themeFill="accent1"/>
                                <w:vAlign w:val="center"/>
                              </w:tcPr>
                              <w:p w:rsidR="004441A1" w:rsidRDefault="004441A1" w:rsidP="004441A1">
                                <w:pPr>
                                  <w:pStyle w:val="Footer"/>
                                  <w:spacing w:before="40" w:after="40"/>
                                  <w:ind w:left="26" w:hanging="26"/>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24C06">
                                  <w:rPr>
                                    <w:noProof/>
                                    <w:color w:val="FFFFFF" w:themeColor="background1"/>
                                  </w:rPr>
                                  <w:t>2</w:t>
                                </w:r>
                                <w:r>
                                  <w:rPr>
                                    <w:noProof/>
                                    <w:color w:val="FFFFFF" w:themeColor="background1"/>
                                  </w:rPr>
                                  <w:fldChar w:fldCharType="end"/>
                                </w:r>
                              </w:p>
                            </w:tc>
                          </w:tr>
                        </w:tbl>
                        <w:p w:rsidR="004441A1" w:rsidRDefault="004441A1">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A987F" id="_x0000_t202" coordsize="21600,21600" o:spt="202" path="m,l,21600r21600,l21600,xe">
              <v:stroke joinstyle="miter"/>
              <v:path gradientshapeok="t" o:connecttype="rect"/>
            </v:shapetype>
            <v:shape id="Text Box 13" o:spid="_x0000_s1026" type="#_x0000_t202" alt="Color-block footer displaying page number" style="position:absolute;margin-left:-16.75pt;margin-top:572.45pt;width:857.4pt;height:30.6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IDlAIAAIcFAAAOAAAAZHJzL2Uyb0RvYy54bWysVE1PGzEQvVfqf7B8hw0gUIjYoBREVQkB&#10;KlScHa+dWNged+xkN/31HXt3A6K9UPXinfXMPM/Hm7m47JxlW4XRgK/50eGEM+UlNMavav7j6eZg&#10;yllMwjfCglc136nIL+efP120YaaOYQ22UcgIxMdZG2q+TinMqirKtXIiHkJQnpQa0IlEv7iqGhQt&#10;oTtbHU8mZ1UL2AQEqWKk2+teyecFX2sl073WUSVma06xpXJiOZf5rOYXYrZCEdZGDmGIf4jCCePp&#10;0T3UtUiCbdD8AeWMRIig06EEV4HWRqqSA2VzNHmXzeNaBFVyoeLEsC9T/H+w8m77gMw01LsTzrxw&#10;1KMn1SX2BTqWrxoVJdXrCizgwdKCfGEaIFHTGhODFTuqOgtipZjfuKXCXNE2xBkBPwaCTh0hEfp4&#10;H+kyF6rT6PKXSsBIT73Z7fuR35fZaTKdTs+npJOkPJmeH5+eZpzq1T1gTF8VOJaFmiM1vPRBbG9j&#10;6k1Hk/yahxtjbWm69ayt+dnJ6aQ47DUEbn22VYU+A0xOqQ+9SGlnVbax/rvSVL6SQb4oxFVXFtlW&#10;EOWElMqnknzBJetspSmIjzgO9q9RfcS5z2N8GXzaOzvjAUv278JuXsaQdW9PNX+TdxZTt+yGVi+h&#10;2VGnEfrpikHeGOrGrYjpQSCNEzWQVkS6p0NboKrDIHG2Bvz1t/tsTywnLWctjWfN48+NQMWZ/eaJ&#10;/3mWRwFHYTkKREUibGYdo2iKSA6Y7ChqBPdMm2ORXyGV8JLeqnkaxavULwnaPFItFsWIJjaIdOsf&#10;g8zQuRuZW0/ds8AwEDARd+9gHFwxe8fD3jZ7elhsEmhTSJoL2ldxKDRNe6H5sJnyOnn7X6xe9+f8&#10;NwAAAP//AwBQSwMEFAAGAAgAAAAhAKHkGNfjAAAADgEAAA8AAABkcnMvZG93bnJldi54bWxMj8tO&#10;wzAQRfdI/IM1SOxaO0mJ2hCnQjx2UKAFCXZOPCQRfkS2k4a/x13Bbkb36M6ZcjtrRSZ0vreGQ7Jk&#10;QNA0Vvam5fB2eFisgfggjBTKGuTwgx621flZKQppj+YVp31oSSwxvhAcuhCGglLfdKiFX9oBTcy+&#10;rNMixNW1VDpxjOVa0ZSxnGrRm3ihEwPedth870fNQX1491iz8DndtU/h5ZmO7/fJjvPLi/nmGkjA&#10;OfzBcNKP6lBFp9qORnqiOCyy7CqiMUhWqw2QE5KvkwxIHaeU5SnQqqT/36h+AQAA//8DAFBLAQIt&#10;ABQABgAIAAAAIQC2gziS/gAAAOEBAAATAAAAAAAAAAAAAAAAAAAAAABbQ29udGVudF9UeXBlc10u&#10;eG1sUEsBAi0AFAAGAAgAAAAhADj9If/WAAAAlAEAAAsAAAAAAAAAAAAAAAAALwEAAF9yZWxzLy5y&#10;ZWxzUEsBAi0AFAAGAAgAAAAhAFVKQgOUAgAAhwUAAA4AAAAAAAAAAAAAAAAALgIAAGRycy9lMm9E&#10;b2MueG1sUEsBAi0AFAAGAAgAAAAhAKHkGNfjAAAADgEAAA8AAAAAAAAAAAAAAAAA7gQAAGRycy9k&#10;b3ducmV2LnhtbFBLBQYAAAAABAAEAPMAAAD+BQAAAAA=&#10;" o:allowoverlap="f" filled="f" stroked="f" strokeweight=".5pt">
              <v:textbox inset="0,0,0,0">
                <w:txbxContent>
                  <w:tbl>
                    <w:tblPr>
                      <w:tblW w:w="4984" w:type="pct"/>
                      <w:tblCellMar>
                        <w:left w:w="0" w:type="dxa"/>
                        <w:right w:w="0" w:type="dxa"/>
                      </w:tblCellMar>
                      <w:tblLook w:val="04A0" w:firstRow="1" w:lastRow="0" w:firstColumn="1" w:lastColumn="0" w:noHBand="0" w:noVBand="1"/>
                      <w:tblDescription w:val="Footer content"/>
                    </w:tblPr>
                    <w:tblGrid>
                      <w:gridCol w:w="341"/>
                      <w:gridCol w:w="15949"/>
                      <w:gridCol w:w="793"/>
                    </w:tblGrid>
                    <w:tr w:rsidR="004441A1" w:rsidTr="00DF5000">
                      <w:trPr>
                        <w:trHeight w:hRule="exact" w:val="360"/>
                      </w:trPr>
                      <w:tc>
                        <w:tcPr>
                          <w:tcW w:w="100" w:type="pct"/>
                          <w:shd w:val="clear" w:color="auto" w:fill="205867" w:themeFill="accent1"/>
                          <w:vAlign w:val="center"/>
                        </w:tcPr>
                        <w:p w:rsidR="004441A1" w:rsidRDefault="004441A1">
                          <w:pPr>
                            <w:pStyle w:val="Footer"/>
                            <w:spacing w:before="40" w:after="40"/>
                            <w:rPr>
                              <w:color w:val="FFFFFF" w:themeColor="background1"/>
                            </w:rPr>
                          </w:pPr>
                        </w:p>
                      </w:tc>
                      <w:tc>
                        <w:tcPr>
                          <w:tcW w:w="4667" w:type="pct"/>
                          <w:shd w:val="clear" w:color="auto" w:fill="215868" w:themeFill="accent5" w:themeFillShade="80"/>
                          <w:vAlign w:val="center"/>
                        </w:tcPr>
                        <w:p w:rsidR="004441A1" w:rsidRDefault="00496C61">
                          <w:pPr>
                            <w:pStyle w:val="Footer"/>
                            <w:spacing w:before="40" w:after="40"/>
                            <w:ind w:left="144" w:right="144"/>
                            <w:rPr>
                              <w:color w:val="FFFFFF" w:themeColor="background1"/>
                            </w:rPr>
                          </w:pPr>
                          <w:r>
                            <w:rPr>
                              <w:color w:val="FFFFFF" w:themeColor="background1"/>
                            </w:rPr>
                            <w:t>Version 1.2 February 2021</w:t>
                          </w:r>
                        </w:p>
                      </w:tc>
                      <w:tc>
                        <w:tcPr>
                          <w:tcW w:w="232" w:type="pct"/>
                          <w:shd w:val="clear" w:color="auto" w:fill="205867" w:themeFill="accent1"/>
                          <w:vAlign w:val="center"/>
                        </w:tcPr>
                        <w:p w:rsidR="004441A1" w:rsidRDefault="004441A1" w:rsidP="004441A1">
                          <w:pPr>
                            <w:pStyle w:val="Footer"/>
                            <w:spacing w:before="40" w:after="40"/>
                            <w:ind w:left="26" w:hanging="26"/>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24C06">
                            <w:rPr>
                              <w:noProof/>
                              <w:color w:val="FFFFFF" w:themeColor="background1"/>
                            </w:rPr>
                            <w:t>2</w:t>
                          </w:r>
                          <w:r>
                            <w:rPr>
                              <w:noProof/>
                              <w:color w:val="FFFFFF" w:themeColor="background1"/>
                            </w:rPr>
                            <w:fldChar w:fldCharType="end"/>
                          </w:r>
                        </w:p>
                      </w:tc>
                    </w:tr>
                  </w:tbl>
                  <w:p w:rsidR="004441A1" w:rsidRDefault="004441A1">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75" w:rsidRDefault="007A1275" w:rsidP="00B04ED8">
      <w:pPr>
        <w:spacing w:after="0" w:line="240" w:lineRule="auto"/>
      </w:pPr>
      <w:r>
        <w:separator/>
      </w:r>
    </w:p>
  </w:footnote>
  <w:footnote w:type="continuationSeparator" w:id="0">
    <w:p w:rsidR="007A1275" w:rsidRDefault="007A127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06" w:rsidRDefault="00A37AA1" w:rsidP="00A37AA1">
    <w:pPr>
      <w:pStyle w:val="Header"/>
      <w:ind w:left="-709"/>
    </w:pPr>
    <w:r w:rsidRPr="00A37AA1">
      <w:rPr>
        <w:noProof/>
        <w:lang w:eastAsia="en-AU"/>
      </w:rPr>
      <w:drawing>
        <wp:inline distT="0" distB="0" distL="0" distR="0" wp14:anchorId="37158029" wp14:editId="6CE26B52">
          <wp:extent cx="10756596" cy="595423"/>
          <wp:effectExtent l="0" t="0" r="0" b="0"/>
          <wp:docPr id="4" name="Picture 4" descr="C:\Users\ss0134\AppData\Local\Hewlett-Packard\HP TRIM\TEMP\HPTRIM.7792\D18 5375  OFFICIAL DEX - Long Slim Banner - 3 Jan 18.PNG" title="Data Exchange and Autralian Government Department of Social Servi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0134\AppData\Local\Hewlett-Packard\HP TRIM\TEMP\HPTRIM.7792\D18 5375  OFFICIAL DEX - Long Slim Banner - 3 Jan 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8664" cy="605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60D"/>
    <w:multiLevelType w:val="hybridMultilevel"/>
    <w:tmpl w:val="62967900"/>
    <w:lvl w:ilvl="0" w:tplc="C192AABC">
      <w:start w:val="1"/>
      <w:numFmt w:val="decimal"/>
      <w:lvlText w:val="%1."/>
      <w:lvlJc w:val="left"/>
      <w:pPr>
        <w:ind w:left="669" w:hanging="360"/>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1" w15:restartNumberingAfterBreak="0">
    <w:nsid w:val="088512ED"/>
    <w:multiLevelType w:val="hybridMultilevel"/>
    <w:tmpl w:val="4CA00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B37729"/>
    <w:multiLevelType w:val="hybridMultilevel"/>
    <w:tmpl w:val="32CC4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26738"/>
    <w:multiLevelType w:val="hybridMultilevel"/>
    <w:tmpl w:val="4246E5C8"/>
    <w:lvl w:ilvl="0" w:tplc="0C090001">
      <w:start w:val="1"/>
      <w:numFmt w:val="bullet"/>
      <w:lvlText w:val=""/>
      <w:lvlJc w:val="left"/>
      <w:pPr>
        <w:ind w:left="1029" w:hanging="360"/>
      </w:pPr>
      <w:rPr>
        <w:rFonts w:ascii="Symbol" w:hAnsi="Symbol" w:hint="default"/>
      </w:rPr>
    </w:lvl>
    <w:lvl w:ilvl="1" w:tplc="0C090003" w:tentative="1">
      <w:start w:val="1"/>
      <w:numFmt w:val="bullet"/>
      <w:lvlText w:val="o"/>
      <w:lvlJc w:val="left"/>
      <w:pPr>
        <w:ind w:left="1749" w:hanging="360"/>
      </w:pPr>
      <w:rPr>
        <w:rFonts w:ascii="Courier New" w:hAnsi="Courier New" w:cs="Courier New" w:hint="default"/>
      </w:rPr>
    </w:lvl>
    <w:lvl w:ilvl="2" w:tplc="0C090005" w:tentative="1">
      <w:start w:val="1"/>
      <w:numFmt w:val="bullet"/>
      <w:lvlText w:val=""/>
      <w:lvlJc w:val="left"/>
      <w:pPr>
        <w:ind w:left="2469" w:hanging="360"/>
      </w:pPr>
      <w:rPr>
        <w:rFonts w:ascii="Wingdings" w:hAnsi="Wingdings" w:hint="default"/>
      </w:rPr>
    </w:lvl>
    <w:lvl w:ilvl="3" w:tplc="0C090001" w:tentative="1">
      <w:start w:val="1"/>
      <w:numFmt w:val="bullet"/>
      <w:lvlText w:val=""/>
      <w:lvlJc w:val="left"/>
      <w:pPr>
        <w:ind w:left="3189" w:hanging="360"/>
      </w:pPr>
      <w:rPr>
        <w:rFonts w:ascii="Symbol" w:hAnsi="Symbol" w:hint="default"/>
      </w:rPr>
    </w:lvl>
    <w:lvl w:ilvl="4" w:tplc="0C090003" w:tentative="1">
      <w:start w:val="1"/>
      <w:numFmt w:val="bullet"/>
      <w:lvlText w:val="o"/>
      <w:lvlJc w:val="left"/>
      <w:pPr>
        <w:ind w:left="3909" w:hanging="360"/>
      </w:pPr>
      <w:rPr>
        <w:rFonts w:ascii="Courier New" w:hAnsi="Courier New" w:cs="Courier New" w:hint="default"/>
      </w:rPr>
    </w:lvl>
    <w:lvl w:ilvl="5" w:tplc="0C090005" w:tentative="1">
      <w:start w:val="1"/>
      <w:numFmt w:val="bullet"/>
      <w:lvlText w:val=""/>
      <w:lvlJc w:val="left"/>
      <w:pPr>
        <w:ind w:left="4629" w:hanging="360"/>
      </w:pPr>
      <w:rPr>
        <w:rFonts w:ascii="Wingdings" w:hAnsi="Wingdings" w:hint="default"/>
      </w:rPr>
    </w:lvl>
    <w:lvl w:ilvl="6" w:tplc="0C090001" w:tentative="1">
      <w:start w:val="1"/>
      <w:numFmt w:val="bullet"/>
      <w:lvlText w:val=""/>
      <w:lvlJc w:val="left"/>
      <w:pPr>
        <w:ind w:left="5349" w:hanging="360"/>
      </w:pPr>
      <w:rPr>
        <w:rFonts w:ascii="Symbol" w:hAnsi="Symbol" w:hint="default"/>
      </w:rPr>
    </w:lvl>
    <w:lvl w:ilvl="7" w:tplc="0C090003" w:tentative="1">
      <w:start w:val="1"/>
      <w:numFmt w:val="bullet"/>
      <w:lvlText w:val="o"/>
      <w:lvlJc w:val="left"/>
      <w:pPr>
        <w:ind w:left="6069" w:hanging="360"/>
      </w:pPr>
      <w:rPr>
        <w:rFonts w:ascii="Courier New" w:hAnsi="Courier New" w:cs="Courier New" w:hint="default"/>
      </w:rPr>
    </w:lvl>
    <w:lvl w:ilvl="8" w:tplc="0C090005" w:tentative="1">
      <w:start w:val="1"/>
      <w:numFmt w:val="bullet"/>
      <w:lvlText w:val=""/>
      <w:lvlJc w:val="left"/>
      <w:pPr>
        <w:ind w:left="6789" w:hanging="360"/>
      </w:pPr>
      <w:rPr>
        <w:rFonts w:ascii="Wingdings" w:hAnsi="Wingdings" w:hint="default"/>
      </w:rPr>
    </w:lvl>
  </w:abstractNum>
  <w:abstractNum w:abstractNumId="4" w15:restartNumberingAfterBreak="0">
    <w:nsid w:val="3AE47F67"/>
    <w:multiLevelType w:val="hybridMultilevel"/>
    <w:tmpl w:val="DE5E66A8"/>
    <w:lvl w:ilvl="0" w:tplc="FF1ED5D4">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67144E"/>
    <w:multiLevelType w:val="hybridMultilevel"/>
    <w:tmpl w:val="4CA00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801107"/>
    <w:multiLevelType w:val="hybridMultilevel"/>
    <w:tmpl w:val="B122ED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1E3E9B"/>
    <w:multiLevelType w:val="hybridMultilevel"/>
    <w:tmpl w:val="0B7E447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8" w15:restartNumberingAfterBreak="0">
    <w:nsid w:val="3F487619"/>
    <w:multiLevelType w:val="hybridMultilevel"/>
    <w:tmpl w:val="6E82D3E8"/>
    <w:lvl w:ilvl="0" w:tplc="6D18A86A">
      <w:start w:val="1"/>
      <w:numFmt w:val="decimal"/>
      <w:lvlText w:val="%1."/>
      <w:lvlJc w:val="left"/>
      <w:pPr>
        <w:ind w:left="669" w:hanging="360"/>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9" w15:restartNumberingAfterBreak="0">
    <w:nsid w:val="582D728A"/>
    <w:multiLevelType w:val="hybridMultilevel"/>
    <w:tmpl w:val="E63C23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FF2B4B"/>
    <w:multiLevelType w:val="hybridMultilevel"/>
    <w:tmpl w:val="13064AC2"/>
    <w:lvl w:ilvl="0" w:tplc="0C090001">
      <w:start w:val="1"/>
      <w:numFmt w:val="bullet"/>
      <w:lvlText w:val=""/>
      <w:lvlJc w:val="left"/>
      <w:pPr>
        <w:ind w:left="669" w:hanging="360"/>
      </w:pPr>
      <w:rPr>
        <w:rFonts w:ascii="Symbol" w:hAnsi="Symbol"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11" w15:restartNumberingAfterBreak="0">
    <w:nsid w:val="73CD5BC3"/>
    <w:multiLevelType w:val="hybridMultilevel"/>
    <w:tmpl w:val="112C1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671A40"/>
    <w:multiLevelType w:val="hybridMultilevel"/>
    <w:tmpl w:val="86980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B02ED8"/>
    <w:multiLevelType w:val="hybridMultilevel"/>
    <w:tmpl w:val="2AEAC1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5"/>
  </w:num>
  <w:num w:numId="5">
    <w:abstractNumId w:val="4"/>
  </w:num>
  <w:num w:numId="6">
    <w:abstractNumId w:val="6"/>
  </w:num>
  <w:num w:numId="7">
    <w:abstractNumId w:val="7"/>
  </w:num>
  <w:num w:numId="8">
    <w:abstractNumId w:val="1"/>
  </w:num>
  <w:num w:numId="9">
    <w:abstractNumId w:val="8"/>
  </w:num>
  <w:num w:numId="10">
    <w:abstractNumId w:val="0"/>
  </w:num>
  <w:num w:numId="11">
    <w:abstractNumId w:val="3"/>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6"/>
    <w:rsid w:val="00005633"/>
    <w:rsid w:val="00024A92"/>
    <w:rsid w:val="00030E6E"/>
    <w:rsid w:val="00032C75"/>
    <w:rsid w:val="00061097"/>
    <w:rsid w:val="000E7181"/>
    <w:rsid w:val="00142FD9"/>
    <w:rsid w:val="001A0A7B"/>
    <w:rsid w:val="001B71F2"/>
    <w:rsid w:val="001C57BC"/>
    <w:rsid w:val="001D539F"/>
    <w:rsid w:val="001E630D"/>
    <w:rsid w:val="001F0FA2"/>
    <w:rsid w:val="002002B9"/>
    <w:rsid w:val="002332D4"/>
    <w:rsid w:val="00240DA7"/>
    <w:rsid w:val="00263A56"/>
    <w:rsid w:val="00284DC9"/>
    <w:rsid w:val="002D46D6"/>
    <w:rsid w:val="002E6712"/>
    <w:rsid w:val="002F55D1"/>
    <w:rsid w:val="002F6904"/>
    <w:rsid w:val="00306687"/>
    <w:rsid w:val="00345B0D"/>
    <w:rsid w:val="003A3F36"/>
    <w:rsid w:val="003B2BB8"/>
    <w:rsid w:val="003D34FF"/>
    <w:rsid w:val="00401AAB"/>
    <w:rsid w:val="00424DF4"/>
    <w:rsid w:val="004441A1"/>
    <w:rsid w:val="00456DF6"/>
    <w:rsid w:val="00496C61"/>
    <w:rsid w:val="00497F8E"/>
    <w:rsid w:val="004A46C1"/>
    <w:rsid w:val="004B54CA"/>
    <w:rsid w:val="004D0A89"/>
    <w:rsid w:val="004E5CBF"/>
    <w:rsid w:val="005033C5"/>
    <w:rsid w:val="005525D4"/>
    <w:rsid w:val="005A202F"/>
    <w:rsid w:val="005B2421"/>
    <w:rsid w:val="005B79D9"/>
    <w:rsid w:val="005C3AA9"/>
    <w:rsid w:val="005D413F"/>
    <w:rsid w:val="005D6EAD"/>
    <w:rsid w:val="005E10CD"/>
    <w:rsid w:val="005E16ED"/>
    <w:rsid w:val="00621FC5"/>
    <w:rsid w:val="006351B7"/>
    <w:rsid w:val="00635CF1"/>
    <w:rsid w:val="00637B02"/>
    <w:rsid w:val="00651CC7"/>
    <w:rsid w:val="0065274B"/>
    <w:rsid w:val="00683A84"/>
    <w:rsid w:val="006A4CE7"/>
    <w:rsid w:val="006D507B"/>
    <w:rsid w:val="006F4800"/>
    <w:rsid w:val="00720ACB"/>
    <w:rsid w:val="007217CD"/>
    <w:rsid w:val="00743EF0"/>
    <w:rsid w:val="00772A9C"/>
    <w:rsid w:val="00785261"/>
    <w:rsid w:val="00794BF6"/>
    <w:rsid w:val="00797B4E"/>
    <w:rsid w:val="007A1275"/>
    <w:rsid w:val="007B0256"/>
    <w:rsid w:val="0083177B"/>
    <w:rsid w:val="0086542C"/>
    <w:rsid w:val="00870765"/>
    <w:rsid w:val="0088712E"/>
    <w:rsid w:val="00893F82"/>
    <w:rsid w:val="008A52F9"/>
    <w:rsid w:val="008A7BE1"/>
    <w:rsid w:val="008B6E55"/>
    <w:rsid w:val="008C2D66"/>
    <w:rsid w:val="008D6AFD"/>
    <w:rsid w:val="00907A6E"/>
    <w:rsid w:val="009225F0"/>
    <w:rsid w:val="009311AA"/>
    <w:rsid w:val="0093462C"/>
    <w:rsid w:val="0095097F"/>
    <w:rsid w:val="00952435"/>
    <w:rsid w:val="00953795"/>
    <w:rsid w:val="00974189"/>
    <w:rsid w:val="0097626E"/>
    <w:rsid w:val="009875D1"/>
    <w:rsid w:val="009A4425"/>
    <w:rsid w:val="009D55ED"/>
    <w:rsid w:val="00A139C0"/>
    <w:rsid w:val="00A2299D"/>
    <w:rsid w:val="00A37AA1"/>
    <w:rsid w:val="00A51946"/>
    <w:rsid w:val="00A54F2C"/>
    <w:rsid w:val="00A63A4E"/>
    <w:rsid w:val="00AA6190"/>
    <w:rsid w:val="00AD7460"/>
    <w:rsid w:val="00B04ED8"/>
    <w:rsid w:val="00B13662"/>
    <w:rsid w:val="00B13703"/>
    <w:rsid w:val="00B15CBE"/>
    <w:rsid w:val="00B20AB6"/>
    <w:rsid w:val="00B74303"/>
    <w:rsid w:val="00B76DB3"/>
    <w:rsid w:val="00B91E3E"/>
    <w:rsid w:val="00B9709F"/>
    <w:rsid w:val="00BA248B"/>
    <w:rsid w:val="00BA2DB9"/>
    <w:rsid w:val="00BA5DC0"/>
    <w:rsid w:val="00BC47A7"/>
    <w:rsid w:val="00BD2F1F"/>
    <w:rsid w:val="00BE7148"/>
    <w:rsid w:val="00BF3B04"/>
    <w:rsid w:val="00BF48F0"/>
    <w:rsid w:val="00C257BA"/>
    <w:rsid w:val="00C374AE"/>
    <w:rsid w:val="00C65A4F"/>
    <w:rsid w:val="00C840E2"/>
    <w:rsid w:val="00C84DD7"/>
    <w:rsid w:val="00C90C5B"/>
    <w:rsid w:val="00CB5863"/>
    <w:rsid w:val="00CF65D1"/>
    <w:rsid w:val="00D6209C"/>
    <w:rsid w:val="00DA243A"/>
    <w:rsid w:val="00DC0332"/>
    <w:rsid w:val="00DD6747"/>
    <w:rsid w:val="00DD6F0A"/>
    <w:rsid w:val="00DE3D78"/>
    <w:rsid w:val="00DF5000"/>
    <w:rsid w:val="00E1399F"/>
    <w:rsid w:val="00E273E4"/>
    <w:rsid w:val="00E61A9A"/>
    <w:rsid w:val="00E90694"/>
    <w:rsid w:val="00E9213B"/>
    <w:rsid w:val="00EB7CFB"/>
    <w:rsid w:val="00ED1A57"/>
    <w:rsid w:val="00F0591A"/>
    <w:rsid w:val="00F24C06"/>
    <w:rsid w:val="00F27AC1"/>
    <w:rsid w:val="00F30AFE"/>
    <w:rsid w:val="00F36886"/>
    <w:rsid w:val="00F41C8D"/>
    <w:rsid w:val="00F44944"/>
    <w:rsid w:val="00F65F9F"/>
    <w:rsid w:val="00F67701"/>
    <w:rsid w:val="00F859F7"/>
    <w:rsid w:val="00F862B6"/>
    <w:rsid w:val="00FB697C"/>
    <w:rsid w:val="00FC5C06"/>
    <w:rsid w:val="00FD069E"/>
    <w:rsid w:val="00FD0842"/>
    <w:rsid w:val="00FE26AA"/>
    <w:rsid w:val="00FE4C0B"/>
    <w:rsid w:val="00FE6734"/>
    <w:rsid w:val="00FE6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2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qFormat/>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FC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FC5C0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C5C06"/>
    <w:pPr>
      <w:spacing w:after="0" w:line="240" w:lineRule="auto"/>
    </w:pPr>
    <w:tblPr>
      <w:tblStyleRowBandSize w:val="1"/>
      <w:tblStyleColBandSize w:val="1"/>
      <w:tblBorders>
        <w:top w:val="single" w:sz="4" w:space="0" w:color="53B0C9" w:themeColor="accent1" w:themeTint="99"/>
        <w:left w:val="single" w:sz="4" w:space="0" w:color="53B0C9" w:themeColor="accent1" w:themeTint="99"/>
        <w:bottom w:val="single" w:sz="4" w:space="0" w:color="53B0C9" w:themeColor="accent1" w:themeTint="99"/>
        <w:right w:val="single" w:sz="4" w:space="0" w:color="53B0C9" w:themeColor="accent1" w:themeTint="99"/>
        <w:insideH w:val="single" w:sz="4" w:space="0" w:color="53B0C9" w:themeColor="accent1" w:themeTint="99"/>
        <w:insideV w:val="single" w:sz="4" w:space="0" w:color="53B0C9" w:themeColor="accent1" w:themeTint="99"/>
      </w:tblBorders>
    </w:tblPr>
    <w:tblStylePr w:type="firstRow">
      <w:rPr>
        <w:b/>
        <w:bCs/>
        <w:color w:val="FFFFFF" w:themeColor="background1"/>
      </w:rPr>
      <w:tblPr/>
      <w:tcPr>
        <w:tcBorders>
          <w:top w:val="single" w:sz="4" w:space="0" w:color="205867" w:themeColor="accent1"/>
          <w:left w:val="single" w:sz="4" w:space="0" w:color="205867" w:themeColor="accent1"/>
          <w:bottom w:val="single" w:sz="4" w:space="0" w:color="205867" w:themeColor="accent1"/>
          <w:right w:val="single" w:sz="4" w:space="0" w:color="205867" w:themeColor="accent1"/>
          <w:insideH w:val="nil"/>
          <w:insideV w:val="nil"/>
        </w:tcBorders>
        <w:shd w:val="clear" w:color="auto" w:fill="205867" w:themeFill="accent1"/>
      </w:tcPr>
    </w:tblStylePr>
    <w:tblStylePr w:type="lastRow">
      <w:rPr>
        <w:b/>
        <w:bCs/>
      </w:rPr>
      <w:tblPr/>
      <w:tcPr>
        <w:tcBorders>
          <w:top w:val="double" w:sz="4" w:space="0" w:color="205867" w:themeColor="accent1"/>
        </w:tcBorders>
      </w:tcPr>
    </w:tblStylePr>
    <w:tblStylePr w:type="firstCol">
      <w:rPr>
        <w:b/>
        <w:bCs/>
      </w:rPr>
    </w:tblStylePr>
    <w:tblStylePr w:type="lastCol">
      <w:rPr>
        <w:b/>
        <w:bCs/>
      </w:rPr>
    </w:tblStylePr>
    <w:tblStylePr w:type="band1Vert">
      <w:tblPr/>
      <w:tcPr>
        <w:shd w:val="clear" w:color="auto" w:fill="C5E4ED" w:themeFill="accent1" w:themeFillTint="33"/>
      </w:tcPr>
    </w:tblStylePr>
    <w:tblStylePr w:type="band1Horz">
      <w:tblPr/>
      <w:tcPr>
        <w:shd w:val="clear" w:color="auto" w:fill="C5E4ED" w:themeFill="accent1" w:themeFillTint="33"/>
      </w:tcPr>
    </w:tblStylePr>
  </w:style>
  <w:style w:type="character" w:styleId="CommentReference">
    <w:name w:val="annotation reference"/>
    <w:basedOn w:val="DefaultParagraphFont"/>
    <w:uiPriority w:val="99"/>
    <w:semiHidden/>
    <w:unhideWhenUsed/>
    <w:rsid w:val="00E9213B"/>
    <w:rPr>
      <w:sz w:val="16"/>
      <w:szCs w:val="16"/>
    </w:rPr>
  </w:style>
  <w:style w:type="paragraph" w:styleId="CommentText">
    <w:name w:val="annotation text"/>
    <w:basedOn w:val="Normal"/>
    <w:link w:val="CommentTextChar"/>
    <w:uiPriority w:val="99"/>
    <w:semiHidden/>
    <w:unhideWhenUsed/>
    <w:rsid w:val="00E9213B"/>
    <w:pPr>
      <w:suppressAutoHyphens/>
      <w:spacing w:before="120" w:after="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9213B"/>
    <w:rPr>
      <w:sz w:val="20"/>
      <w:szCs w:val="20"/>
    </w:rPr>
  </w:style>
  <w:style w:type="paragraph" w:styleId="BalloonText">
    <w:name w:val="Balloon Text"/>
    <w:basedOn w:val="Normal"/>
    <w:link w:val="BalloonTextChar"/>
    <w:uiPriority w:val="99"/>
    <w:semiHidden/>
    <w:unhideWhenUsed/>
    <w:rsid w:val="00E92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13B"/>
    <w:rPr>
      <w:rFonts w:ascii="Segoe UI" w:hAnsi="Segoe UI" w:cs="Segoe UI"/>
      <w:sz w:val="18"/>
      <w:szCs w:val="18"/>
    </w:rPr>
  </w:style>
  <w:style w:type="character" w:styleId="Hyperlink">
    <w:name w:val="Hyperlink"/>
    <w:basedOn w:val="DefaultParagraphFont"/>
    <w:uiPriority w:val="99"/>
    <w:unhideWhenUsed/>
    <w:rsid w:val="00C374A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1399F"/>
    <w:pPr>
      <w:suppressAutoHyphens w:val="0"/>
      <w:spacing w:before="0" w:after="200"/>
    </w:pPr>
    <w:rPr>
      <w:rFonts w:ascii="Arial" w:hAnsi="Arial"/>
      <w:b/>
      <w:bCs/>
    </w:rPr>
  </w:style>
  <w:style w:type="character" w:customStyle="1" w:styleId="CommentSubjectChar">
    <w:name w:val="Comment Subject Char"/>
    <w:basedOn w:val="CommentTextChar"/>
    <w:link w:val="CommentSubject"/>
    <w:uiPriority w:val="99"/>
    <w:semiHidden/>
    <w:rsid w:val="00E1399F"/>
    <w:rPr>
      <w:rFonts w:ascii="Arial" w:hAnsi="Arial"/>
      <w:b/>
      <w:bCs/>
      <w:sz w:val="20"/>
      <w:szCs w:val="20"/>
    </w:rPr>
  </w:style>
  <w:style w:type="paragraph" w:styleId="Revision">
    <w:name w:val="Revision"/>
    <w:hidden/>
    <w:uiPriority w:val="99"/>
    <w:semiHidden/>
    <w:rsid w:val="00C90C5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20586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2021-02-08T06:03:00Z</dcterms:created>
  <dcterms:modified xsi:type="dcterms:W3CDTF">2021-02-09T05:16:00Z</dcterms:modified>
</cp:coreProperties>
</file>