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F86" w:rsidRDefault="00E90F86" w:rsidP="00E90F86">
      <w:pPr>
        <w:ind w:left="-1418"/>
        <w:sectPr w:rsidR="00E90F86" w:rsidSect="00E90F86">
          <w:footerReference w:type="default" r:id="rId8"/>
          <w:pgSz w:w="11906" w:h="16838"/>
          <w:pgMar w:top="284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en-AU"/>
        </w:rPr>
        <w:drawing>
          <wp:inline distT="0" distB="0" distL="0" distR="0">
            <wp:extent cx="7534800" cy="1296000"/>
            <wp:effectExtent l="0" t="0" r="0" b="0"/>
            <wp:docPr id="1" name="Picture 1" descr="Australian Government logo and text saying Data Exchange" title="Data Exchange 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X Header test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34800" cy="129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0F86" w:rsidRDefault="00E90F86" w:rsidP="00B91E3E">
      <w:pPr>
        <w:sectPr w:rsidR="00E90F86" w:rsidSect="00E90F86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E90F86" w:rsidRDefault="00E90F86" w:rsidP="00E90F86">
      <w:pPr>
        <w:pStyle w:val="DEXHeading1"/>
        <w:spacing w:before="100" w:beforeAutospacing="1" w:after="120"/>
      </w:pPr>
      <w:r>
        <w:t>SCORE – at a glance</w:t>
      </w:r>
    </w:p>
    <w:p w:rsidR="0039339C" w:rsidRDefault="0039339C" w:rsidP="00E90F86">
      <w:pPr>
        <w:spacing w:after="100" w:afterAutospacing="1"/>
      </w:pPr>
    </w:p>
    <w:p w:rsidR="00E90F86" w:rsidRDefault="00E90F86" w:rsidP="00E90F86">
      <w:pPr>
        <w:spacing w:after="100" w:afterAutospacing="1"/>
      </w:pPr>
      <w:r w:rsidRPr="006F4665">
        <w:t>Working collaboratively with the sector to improve the way we collect outcomes information</w:t>
      </w:r>
    </w:p>
    <w:p w:rsidR="00E90F86" w:rsidRPr="000E5AA6" w:rsidRDefault="00E90F86" w:rsidP="00E90F86">
      <w:pPr>
        <w:pStyle w:val="Heading2"/>
        <w:spacing w:before="0"/>
      </w:pPr>
      <w:r w:rsidRPr="000E5AA6">
        <w:t>Overview</w:t>
      </w:r>
    </w:p>
    <w:p w:rsidR="00E90F86" w:rsidRDefault="00E90F86" w:rsidP="00E90F86">
      <w:pPr>
        <w:spacing w:before="120" w:after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T</w:t>
      </w:r>
      <w:r w:rsidRPr="00126E87">
        <w:rPr>
          <w:rFonts w:cs="Arial"/>
          <w:color w:val="000000" w:themeColor="text1"/>
        </w:rPr>
        <w:t>he Austr</w:t>
      </w:r>
      <w:r>
        <w:rPr>
          <w:rFonts w:cs="Arial"/>
          <w:color w:val="000000" w:themeColor="text1"/>
        </w:rPr>
        <w:t>alian Government has</w:t>
      </w:r>
      <w:r w:rsidRPr="00126E87">
        <w:rPr>
          <w:rFonts w:cs="Arial"/>
          <w:color w:val="000000" w:themeColor="text1"/>
        </w:rPr>
        <w:t xml:space="preserve"> improved </w:t>
      </w:r>
      <w:r>
        <w:rPr>
          <w:rFonts w:cs="Arial"/>
          <w:color w:val="000000" w:themeColor="text1"/>
        </w:rPr>
        <w:t>program</w:t>
      </w:r>
      <w:r w:rsidRPr="00126E87">
        <w:rPr>
          <w:rFonts w:cs="Arial"/>
          <w:color w:val="000000" w:themeColor="text1"/>
        </w:rPr>
        <w:t xml:space="preserve"> performance reporting</w:t>
      </w:r>
      <w:r>
        <w:rPr>
          <w:rFonts w:cs="Arial"/>
          <w:color w:val="000000" w:themeColor="text1"/>
        </w:rPr>
        <w:t xml:space="preserve"> processes in grant agreements through th</w:t>
      </w:r>
      <w:r w:rsidRPr="00126E87">
        <w:rPr>
          <w:rFonts w:cs="Arial"/>
          <w:color w:val="000000" w:themeColor="text1"/>
        </w:rPr>
        <w:t xml:space="preserve">e </w:t>
      </w:r>
      <w:r w:rsidRPr="003F4D7A">
        <w:rPr>
          <w:rFonts w:cs="Arial"/>
          <w:color w:val="000000" w:themeColor="text1"/>
        </w:rPr>
        <w:t>Data Exchange</w:t>
      </w:r>
      <w:r>
        <w:rPr>
          <w:rFonts w:cs="Arial"/>
          <w:color w:val="000000" w:themeColor="text1"/>
        </w:rPr>
        <w:t xml:space="preserve">. </w:t>
      </w:r>
    </w:p>
    <w:p w:rsidR="00E90F86" w:rsidRPr="00616B92" w:rsidRDefault="00E90F86" w:rsidP="00E90F86">
      <w:r>
        <w:rPr>
          <w:rFonts w:cs="Arial"/>
          <w:color w:val="000000" w:themeColor="text1"/>
        </w:rPr>
        <w:t>Th</w:t>
      </w:r>
      <w:r w:rsidRPr="00126E87">
        <w:rPr>
          <w:rFonts w:cs="Arial"/>
          <w:color w:val="000000" w:themeColor="text1"/>
        </w:rPr>
        <w:t xml:space="preserve">e </w:t>
      </w:r>
      <w:r w:rsidRPr="003F4D7A">
        <w:rPr>
          <w:rFonts w:cs="Arial"/>
          <w:color w:val="000000" w:themeColor="text1"/>
        </w:rPr>
        <w:t>Data Exchange</w:t>
      </w:r>
      <w:r>
        <w:rPr>
          <w:rFonts w:cs="Arial"/>
          <w:color w:val="000000" w:themeColor="text1"/>
        </w:rPr>
        <w:t xml:space="preserve"> f</w:t>
      </w:r>
      <w:r w:rsidRPr="00126E87">
        <w:rPr>
          <w:rFonts w:cs="Arial"/>
          <w:color w:val="000000" w:themeColor="text1"/>
        </w:rPr>
        <w:t>ramework streamline</w:t>
      </w:r>
      <w:r>
        <w:rPr>
          <w:rFonts w:cs="Arial"/>
          <w:color w:val="000000" w:themeColor="text1"/>
        </w:rPr>
        <w:t>s</w:t>
      </w:r>
      <w:r w:rsidRPr="00126E87">
        <w:rPr>
          <w:rFonts w:cs="Arial"/>
          <w:color w:val="000000" w:themeColor="text1"/>
        </w:rPr>
        <w:t xml:space="preserve"> reporting requirements, automate</w:t>
      </w:r>
      <w:r>
        <w:rPr>
          <w:rFonts w:cs="Arial"/>
          <w:color w:val="000000" w:themeColor="text1"/>
        </w:rPr>
        <w:t>s</w:t>
      </w:r>
      <w:r w:rsidRPr="00126E87">
        <w:rPr>
          <w:rFonts w:cs="Arial"/>
          <w:color w:val="000000" w:themeColor="text1"/>
        </w:rPr>
        <w:t xml:space="preserve"> reporting processes</w:t>
      </w:r>
      <w:r w:rsidR="00B4447C">
        <w:rPr>
          <w:rFonts w:cs="Arial"/>
          <w:color w:val="000000" w:themeColor="text1"/>
        </w:rPr>
        <w:t>,</w:t>
      </w:r>
      <w:r w:rsidRPr="00126E87">
        <w:rPr>
          <w:rFonts w:cs="Arial"/>
          <w:color w:val="000000" w:themeColor="text1"/>
        </w:rPr>
        <w:t xml:space="preserve"> and shift</w:t>
      </w:r>
      <w:r>
        <w:rPr>
          <w:rFonts w:cs="Arial"/>
          <w:color w:val="000000" w:themeColor="text1"/>
        </w:rPr>
        <w:t>s</w:t>
      </w:r>
      <w:r w:rsidRPr="00126E87">
        <w:rPr>
          <w:rFonts w:cs="Arial"/>
          <w:color w:val="000000" w:themeColor="text1"/>
        </w:rPr>
        <w:t xml:space="preserve"> the focus of performance measurement from outputs to more meaningful information about service delivery outcomes. </w:t>
      </w:r>
      <w:r>
        <w:rPr>
          <w:rFonts w:cs="Arial"/>
          <w:color w:val="000000" w:themeColor="text1"/>
        </w:rPr>
        <w:t xml:space="preserve">In order to collect meaningful data about the service outcomes organisations are achieving, the Data Exchange has developed a </w:t>
      </w:r>
      <w:r w:rsidR="006F0B51">
        <w:rPr>
          <w:rFonts w:cs="Arial"/>
          <w:color w:val="000000" w:themeColor="text1"/>
        </w:rPr>
        <w:t>reporting</w:t>
      </w:r>
      <w:r>
        <w:rPr>
          <w:rFonts w:cs="Arial"/>
          <w:color w:val="000000" w:themeColor="text1"/>
        </w:rPr>
        <w:t xml:space="preserve"> tool called </w:t>
      </w:r>
      <w:r w:rsidRPr="00126E87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 xml:space="preserve">tandard </w:t>
      </w:r>
      <w:r w:rsidRPr="00126E87">
        <w:rPr>
          <w:rFonts w:cs="Arial"/>
          <w:color w:val="000000" w:themeColor="text1"/>
        </w:rPr>
        <w:t>C</w:t>
      </w:r>
      <w:r>
        <w:rPr>
          <w:rFonts w:cs="Arial"/>
          <w:color w:val="000000" w:themeColor="text1"/>
        </w:rPr>
        <w:t xml:space="preserve">lient/Community </w:t>
      </w:r>
      <w:r w:rsidRPr="00126E87">
        <w:rPr>
          <w:rFonts w:cs="Arial"/>
          <w:color w:val="000000" w:themeColor="text1"/>
        </w:rPr>
        <w:t>O</w:t>
      </w:r>
      <w:r>
        <w:rPr>
          <w:rFonts w:cs="Arial"/>
          <w:color w:val="000000" w:themeColor="text1"/>
        </w:rPr>
        <w:t xml:space="preserve">utcomes </w:t>
      </w:r>
      <w:r w:rsidRPr="00126E87">
        <w:rPr>
          <w:rFonts w:cs="Arial"/>
          <w:color w:val="000000" w:themeColor="text1"/>
        </w:rPr>
        <w:t>R</w:t>
      </w:r>
      <w:r>
        <w:rPr>
          <w:rFonts w:cs="Arial"/>
          <w:color w:val="000000" w:themeColor="text1"/>
        </w:rPr>
        <w:t>eporting, or SCORE for short.</w:t>
      </w:r>
    </w:p>
    <w:p w:rsidR="00E90F86" w:rsidRDefault="00E90F86" w:rsidP="00E90F86">
      <w:pPr>
        <w:pStyle w:val="Heading2"/>
      </w:pPr>
      <w:r>
        <w:t>Standard Client/Community Outcomes Reporting (SCORE)</w:t>
      </w:r>
      <w:r>
        <w:br/>
      </w:r>
    </w:p>
    <w:p w:rsidR="00E90F86" w:rsidRPr="00597B31" w:rsidRDefault="00E90F86" w:rsidP="00E90F86">
      <w:pPr>
        <w:rPr>
          <w:sz w:val="20"/>
          <w:szCs w:val="20"/>
        </w:rPr>
      </w:pPr>
      <w:r w:rsidRPr="00126E87">
        <w:t xml:space="preserve">SCORE allows </w:t>
      </w:r>
      <w:r>
        <w:t>organisations</w:t>
      </w:r>
      <w:r w:rsidRPr="00126E87">
        <w:t xml:space="preserve"> to measure client and community outcomes using </w:t>
      </w:r>
      <w:r>
        <w:t xml:space="preserve">their own </w:t>
      </w:r>
      <w:r w:rsidRPr="00126E87">
        <w:t>self-selected tools and methods</w:t>
      </w:r>
      <w:r w:rsidR="00135F93">
        <w:t>,</w:t>
      </w:r>
      <w:r>
        <w:t xml:space="preserve"> and</w:t>
      </w:r>
      <w:r w:rsidRPr="00126E87">
        <w:t xml:space="preserve"> </w:t>
      </w:r>
      <w:r>
        <w:t xml:space="preserve">to </w:t>
      </w:r>
      <w:r w:rsidRPr="00126E87">
        <w:t>report th</w:t>
      </w:r>
      <w:r>
        <w:t xml:space="preserve">ese </w:t>
      </w:r>
      <w:r w:rsidRPr="00126E87">
        <w:t>outcomes in a</w:t>
      </w:r>
      <w:r>
        <w:t xml:space="preserve"> way that is</w:t>
      </w:r>
      <w:r w:rsidRPr="00126E87">
        <w:t xml:space="preserve"> consistent and comparable</w:t>
      </w:r>
      <w:r>
        <w:t>.</w:t>
      </w:r>
    </w:p>
    <w:p w:rsidR="00E90F86" w:rsidRPr="00771968" w:rsidRDefault="00E90F86" w:rsidP="00E90F86">
      <w:pPr>
        <w:rPr>
          <w:sz w:val="20"/>
          <w:szCs w:val="20"/>
        </w:rPr>
      </w:pPr>
      <w:r w:rsidRPr="00126E87">
        <w:t>The</w:t>
      </w:r>
      <w:r>
        <w:t>re</w:t>
      </w:r>
      <w:r w:rsidRPr="00126E87">
        <w:t xml:space="preserve"> </w:t>
      </w:r>
      <w:r>
        <w:t xml:space="preserve">are four different types (components) of outcomes measured through SCORE to help tell the story of what has been achieved: three for individual clients (their circumstances, goals and satisfaction) and one for a group or community. </w:t>
      </w:r>
    </w:p>
    <w:p w:rsidR="00E90F86" w:rsidRPr="005D3C58" w:rsidRDefault="00E90F86" w:rsidP="00E90F86">
      <w:r>
        <w:t>SCORE</w:t>
      </w:r>
      <w:r w:rsidRPr="00126E87">
        <w:t xml:space="preserve"> us</w:t>
      </w:r>
      <w:r>
        <w:t>es a simple five-point rating scale. This provides a consistent and comparable way to translate outcomes into a quantified rating</w:t>
      </w:r>
      <w:r>
        <w:rPr>
          <w:rFonts w:ascii="Cambria" w:eastAsia="Calibri" w:hAnsi="Cambria" w:cs="Times New Roman"/>
          <w:sz w:val="24"/>
        </w:rPr>
        <w:t>.</w:t>
      </w:r>
      <w:r>
        <w:t xml:space="preserve"> SCORE is generally recorded </w:t>
      </w:r>
      <w:r w:rsidRPr="00126E87">
        <w:t xml:space="preserve">towards the </w:t>
      </w:r>
      <w:r>
        <w:t xml:space="preserve">beginning and end of a </w:t>
      </w:r>
      <w:r w:rsidRPr="00126E87">
        <w:t>funded activity</w:t>
      </w:r>
      <w:r>
        <w:t xml:space="preserve"> to best assess change pre and post service delivery. If the service provided is longer term, then an </w:t>
      </w:r>
      <w:r w:rsidR="00B4447C">
        <w:t>interim</w:t>
      </w:r>
      <w:r>
        <w:t xml:space="preserve"> assessment should also be recorded.</w:t>
      </w:r>
    </w:p>
    <w:p w:rsidR="00E90F86" w:rsidRDefault="00E90F86" w:rsidP="00E90F86">
      <w:pPr>
        <w:rPr>
          <w:b/>
          <w:bCs/>
          <w:iCs/>
          <w:lang w:val="en-US"/>
        </w:rPr>
      </w:pPr>
      <w:r>
        <w:t>Organisations</w:t>
      </w:r>
      <w:r w:rsidRPr="00126E87">
        <w:t xml:space="preserve"> </w:t>
      </w:r>
      <w:r w:rsidRPr="00771968">
        <w:rPr>
          <w:lang w:val="en-US"/>
        </w:rPr>
        <w:t>are encouraged to collect SCORE in the way that bests suits their own unique service delivery context. This may be through a practitioner assessment, a client self-assessment, support person assessment, or a joint assessment</w:t>
      </w:r>
      <w:r>
        <w:rPr>
          <w:b/>
          <w:bCs/>
          <w:iCs/>
          <w:lang w:val="en-US"/>
        </w:rPr>
        <w:t>.</w:t>
      </w:r>
    </w:p>
    <w:p w:rsidR="00E90F86" w:rsidRDefault="00E90F86" w:rsidP="00E90F86">
      <w:r w:rsidRPr="001E6F5F">
        <w:t>Reporting SCORE data will only apply to organisations</w:t>
      </w:r>
      <w:r>
        <w:t xml:space="preserve"> </w:t>
      </w:r>
      <w:r w:rsidRPr="001E6F5F">
        <w:t xml:space="preserve">that choose to opt-in to providing the extended data </w:t>
      </w:r>
      <w:r>
        <w:t xml:space="preserve">as part of the </w:t>
      </w:r>
      <w:r w:rsidRPr="00C34AF5">
        <w:t>partnership approach</w:t>
      </w:r>
      <w:r>
        <w:t xml:space="preserve">, or where it is a condition of their grant. For more on the partnership approach see </w:t>
      </w:r>
      <w:hyperlink r:id="rId10" w:history="1">
        <w:r w:rsidR="00135F93" w:rsidRPr="00135F93">
          <w:rPr>
            <w:rStyle w:val="Hyperlink"/>
          </w:rPr>
          <w:t xml:space="preserve">Measuring </w:t>
        </w:r>
        <w:r w:rsidRPr="00135F93">
          <w:rPr>
            <w:rStyle w:val="Hyperlink"/>
          </w:rPr>
          <w:t>Outcomes – A beginner’s guide</w:t>
        </w:r>
      </w:hyperlink>
      <w:r w:rsidRPr="00691AB6">
        <w:t>.</w:t>
      </w:r>
    </w:p>
    <w:p w:rsidR="0039339C" w:rsidRDefault="0039339C">
      <w:pPr>
        <w:rPr>
          <w:rFonts w:eastAsiaTheme="majorEastAsia" w:cstheme="majorBidi"/>
          <w:b/>
          <w:bCs/>
          <w:sz w:val="26"/>
          <w:szCs w:val="26"/>
        </w:rPr>
      </w:pPr>
      <w:r>
        <w:br w:type="page"/>
      </w:r>
      <w:bookmarkStart w:id="0" w:name="_GoBack"/>
      <w:bookmarkEnd w:id="0"/>
    </w:p>
    <w:p w:rsidR="00E90F86" w:rsidRPr="00263AA8" w:rsidRDefault="00E90F86" w:rsidP="00E90F86">
      <w:pPr>
        <w:pStyle w:val="Heading2"/>
      </w:pPr>
      <w:r w:rsidRPr="00C34AF5">
        <w:lastRenderedPageBreak/>
        <w:t xml:space="preserve">How SCORE works in practice </w:t>
      </w:r>
    </w:p>
    <w:p w:rsidR="00E90F86" w:rsidRDefault="00E90F86" w:rsidP="00E90F86">
      <w:pPr>
        <w:spacing w:before="120" w:after="12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 xml:space="preserve">The four SCORE components are linked to standard domains to make it easy to compare outcomes across </w:t>
      </w:r>
      <w:r>
        <w:rPr>
          <w:rFonts w:cs="Arial"/>
          <w:color w:val="000000" w:themeColor="text1"/>
        </w:rPr>
        <w:t>client facing</w:t>
      </w:r>
      <w:r w:rsidRPr="00C34AF5">
        <w:rPr>
          <w:rFonts w:cs="Arial"/>
          <w:color w:val="000000" w:themeColor="text1"/>
        </w:rPr>
        <w:t xml:space="preserve"> </w:t>
      </w:r>
      <w:r>
        <w:rPr>
          <w:rFonts w:cs="Arial"/>
          <w:color w:val="000000" w:themeColor="text1"/>
        </w:rPr>
        <w:t>program</w:t>
      </w:r>
      <w:r w:rsidRPr="00C34AF5">
        <w:rPr>
          <w:rFonts w:cs="Arial"/>
          <w:color w:val="000000" w:themeColor="text1"/>
        </w:rPr>
        <w:t>s.</w:t>
      </w:r>
    </w:p>
    <w:p w:rsidR="00E90F86" w:rsidRDefault="00E90F86" w:rsidP="00E90F86">
      <w:pPr>
        <w:pStyle w:val="ListParagraph"/>
        <w:widowControl w:val="0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 xml:space="preserve">The </w:t>
      </w:r>
      <w:r w:rsidRPr="007A7CF6">
        <w:rPr>
          <w:rFonts w:cs="Arial"/>
          <w:b/>
          <w:color w:val="000000" w:themeColor="text1"/>
        </w:rPr>
        <w:t>Client Circumstances</w:t>
      </w:r>
      <w:r w:rsidRPr="00C34AF5">
        <w:rPr>
          <w:rFonts w:cs="Arial"/>
          <w:color w:val="000000" w:themeColor="text1"/>
        </w:rPr>
        <w:t xml:space="preserve"> SCORE is linked to </w:t>
      </w:r>
      <w:r>
        <w:rPr>
          <w:rFonts w:cs="Arial"/>
          <w:color w:val="000000" w:themeColor="text1"/>
        </w:rPr>
        <w:t>eleven</w:t>
      </w:r>
      <w:r w:rsidRPr="00C34AF5">
        <w:rPr>
          <w:rFonts w:cs="Arial"/>
          <w:color w:val="000000" w:themeColor="text1"/>
        </w:rPr>
        <w:t xml:space="preserve"> outcome domains where changes are sought for clients of funded </w:t>
      </w:r>
      <w:r>
        <w:rPr>
          <w:rFonts w:cs="Arial"/>
          <w:color w:val="000000" w:themeColor="text1"/>
        </w:rPr>
        <w:t>program</w:t>
      </w:r>
      <w:r w:rsidRPr="00C34AF5">
        <w:rPr>
          <w:rFonts w:cs="Arial"/>
          <w:color w:val="000000" w:themeColor="text1"/>
        </w:rPr>
        <w:t>s</w:t>
      </w:r>
      <w:r>
        <w:rPr>
          <w:rFonts w:cs="Arial"/>
          <w:color w:val="000000" w:themeColor="text1"/>
        </w:rPr>
        <w:t>: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physi</w:t>
      </w:r>
      <w:r>
        <w:rPr>
          <w:rFonts w:cs="Arial"/>
          <w:color w:val="000000" w:themeColor="text1"/>
        </w:rPr>
        <w:t>cal health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mental</w:t>
      </w:r>
      <w:r>
        <w:rPr>
          <w:rFonts w:cs="Arial"/>
          <w:color w:val="000000" w:themeColor="text1"/>
        </w:rPr>
        <w:t xml:space="preserve"> health, wellbeing and self-care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personal and family safety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age-appropriate development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community participation and networks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family functioning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financial resilience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employment 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education and skills training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material wellbeing and basic necessities</w:t>
      </w:r>
    </w:p>
    <w:p w:rsidR="00E90F86" w:rsidRPr="00C34AF5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housing.</w:t>
      </w:r>
    </w:p>
    <w:p w:rsidR="00E90F86" w:rsidRDefault="00E90F86" w:rsidP="00E90F86">
      <w:pPr>
        <w:pStyle w:val="ListParagraph"/>
        <w:widowControl w:val="0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 xml:space="preserve">The </w:t>
      </w:r>
      <w:r w:rsidRPr="007A7CF6">
        <w:rPr>
          <w:rFonts w:cs="Arial"/>
          <w:b/>
          <w:color w:val="000000" w:themeColor="text1"/>
        </w:rPr>
        <w:t>Client Goal</w:t>
      </w:r>
      <w:r w:rsidRPr="00C34AF5">
        <w:rPr>
          <w:rFonts w:cs="Arial"/>
          <w:color w:val="000000" w:themeColor="text1"/>
        </w:rPr>
        <w:t xml:space="preserve"> SCORE is linked to six goal domains</w:t>
      </w:r>
      <w:r>
        <w:rPr>
          <w:rFonts w:cs="Arial"/>
          <w:color w:val="000000" w:themeColor="text1"/>
        </w:rPr>
        <w:t xml:space="preserve"> which measure the extent of achievement of a client’s individual goals:</w:t>
      </w:r>
      <w:r w:rsidRPr="00C34AF5">
        <w:rPr>
          <w:rFonts w:cs="Arial"/>
          <w:color w:val="000000" w:themeColor="text1"/>
        </w:rPr>
        <w:t xml:space="preserve"> 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changed knowledge and access to information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changed skills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changed behaviours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empowerment, choice and control to make own decisions</w:t>
      </w:r>
      <w:r w:rsidRPr="00C34AF5">
        <w:rPr>
          <w:rFonts w:cs="Arial"/>
          <w:color w:val="000000" w:themeColor="text1"/>
        </w:rPr>
        <w:t xml:space="preserve"> 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engagement</w:t>
      </w:r>
      <w:r>
        <w:rPr>
          <w:rFonts w:cs="Arial"/>
          <w:color w:val="000000" w:themeColor="text1"/>
        </w:rPr>
        <w:t xml:space="preserve"> with relevant support services</w:t>
      </w:r>
    </w:p>
    <w:p w:rsidR="00E90F86" w:rsidRPr="00C34AF5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cha</w:t>
      </w:r>
      <w:r>
        <w:rPr>
          <w:rFonts w:cs="Arial"/>
          <w:color w:val="000000" w:themeColor="text1"/>
        </w:rPr>
        <w:t>nged impact of immediate crisis.</w:t>
      </w:r>
    </w:p>
    <w:p w:rsidR="00E90F86" w:rsidRDefault="00E90F86" w:rsidP="00E90F86">
      <w:pPr>
        <w:pStyle w:val="ListParagraph"/>
        <w:widowControl w:val="0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 xml:space="preserve">The </w:t>
      </w:r>
      <w:r w:rsidRPr="00B0079B">
        <w:rPr>
          <w:rFonts w:cs="Arial"/>
          <w:b/>
          <w:color w:val="000000" w:themeColor="text1"/>
        </w:rPr>
        <w:t>Client Satisfaction</w:t>
      </w:r>
      <w:r w:rsidRPr="00C34AF5">
        <w:rPr>
          <w:rFonts w:cs="Arial"/>
          <w:color w:val="000000" w:themeColor="text1"/>
        </w:rPr>
        <w:t xml:space="preserve"> SCORE relates to </w:t>
      </w:r>
      <w:r>
        <w:rPr>
          <w:rFonts w:cs="Arial"/>
          <w:color w:val="000000" w:themeColor="text1"/>
        </w:rPr>
        <w:t>three</w:t>
      </w:r>
      <w:r w:rsidRPr="00C34AF5">
        <w:rPr>
          <w:rFonts w:cs="Arial"/>
          <w:color w:val="000000" w:themeColor="text1"/>
        </w:rPr>
        <w:t xml:space="preserve"> key domains about a client’s perceptions of the responsiveness and value of the service received</w:t>
      </w:r>
      <w:r>
        <w:rPr>
          <w:rFonts w:cs="Arial"/>
          <w:color w:val="000000" w:themeColor="text1"/>
        </w:rPr>
        <w:t>: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the service listened</w:t>
      </w:r>
      <w:r>
        <w:rPr>
          <w:rFonts w:cs="Arial"/>
          <w:color w:val="000000" w:themeColor="text1"/>
        </w:rPr>
        <w:t xml:space="preserve"> to me and understood my issues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>I am happy wi</w:t>
      </w:r>
      <w:r>
        <w:rPr>
          <w:rFonts w:cs="Arial"/>
          <w:color w:val="000000" w:themeColor="text1"/>
        </w:rPr>
        <w:t>th the services I have received</w:t>
      </w:r>
    </w:p>
    <w:p w:rsidR="00E90F86" w:rsidRPr="00C34AF5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 xml:space="preserve">I am better able to deal with issues </w:t>
      </w:r>
      <w:r>
        <w:rPr>
          <w:rFonts w:cs="Arial"/>
          <w:color w:val="000000" w:themeColor="text1"/>
        </w:rPr>
        <w:t>that I sought help with</w:t>
      </w:r>
      <w:r w:rsidRPr="00C34AF5">
        <w:rPr>
          <w:rFonts w:cs="Arial"/>
          <w:color w:val="000000" w:themeColor="text1"/>
        </w:rPr>
        <w:t xml:space="preserve">. </w:t>
      </w:r>
    </w:p>
    <w:p w:rsidR="00E90F86" w:rsidRDefault="00E90F86" w:rsidP="00E90F86">
      <w:pPr>
        <w:pStyle w:val="ListParagraph"/>
        <w:widowControl w:val="0"/>
        <w:numPr>
          <w:ilvl w:val="0"/>
          <w:numId w:val="1"/>
        </w:numPr>
        <w:spacing w:before="120" w:after="120" w:line="240" w:lineRule="auto"/>
        <w:ind w:left="714" w:hanging="357"/>
        <w:contextualSpacing w:val="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 xml:space="preserve">The </w:t>
      </w:r>
      <w:r w:rsidRPr="00965762">
        <w:rPr>
          <w:rFonts w:cs="Arial"/>
          <w:b/>
          <w:color w:val="000000" w:themeColor="text1"/>
        </w:rPr>
        <w:t>Community</w:t>
      </w:r>
      <w:r w:rsidRPr="00C34AF5">
        <w:rPr>
          <w:rFonts w:cs="Arial"/>
          <w:color w:val="000000" w:themeColor="text1"/>
        </w:rPr>
        <w:t xml:space="preserve"> SCORE is linked to </w:t>
      </w:r>
      <w:r>
        <w:rPr>
          <w:rFonts w:cs="Arial"/>
          <w:color w:val="000000" w:themeColor="text1"/>
        </w:rPr>
        <w:t>four</w:t>
      </w:r>
      <w:r w:rsidRPr="00C34AF5">
        <w:rPr>
          <w:rFonts w:cs="Arial"/>
          <w:color w:val="000000" w:themeColor="text1"/>
        </w:rPr>
        <w:t xml:space="preserve"> domains where changes o</w:t>
      </w:r>
      <w:r>
        <w:rPr>
          <w:rFonts w:cs="Arial"/>
          <w:color w:val="000000" w:themeColor="text1"/>
        </w:rPr>
        <w:t>ccur for a group or a community: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k</w:t>
      </w:r>
      <w:r w:rsidRPr="00C806CC">
        <w:rPr>
          <w:rFonts w:cs="Arial"/>
          <w:color w:val="000000" w:themeColor="text1"/>
        </w:rPr>
        <w:t>nowledge, skills</w:t>
      </w:r>
      <w:r>
        <w:rPr>
          <w:rFonts w:cs="Arial"/>
          <w:color w:val="000000" w:themeColor="text1"/>
        </w:rPr>
        <w:t>, attitudes</w:t>
      </w:r>
      <w:r w:rsidRPr="00C806CC">
        <w:rPr>
          <w:rFonts w:cs="Arial"/>
          <w:color w:val="000000" w:themeColor="text1"/>
        </w:rPr>
        <w:t xml:space="preserve"> and behaviours for a group of client or community member</w:t>
      </w:r>
      <w:r>
        <w:rPr>
          <w:rFonts w:cs="Arial"/>
          <w:color w:val="000000" w:themeColor="text1"/>
        </w:rPr>
        <w:t>s participating in the service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806CC">
        <w:rPr>
          <w:rFonts w:cs="Arial"/>
          <w:color w:val="000000" w:themeColor="text1"/>
        </w:rPr>
        <w:t>knowledge, skills and practices within organisations</w:t>
      </w:r>
      <w:r>
        <w:rPr>
          <w:rFonts w:cs="Arial"/>
          <w:color w:val="000000" w:themeColor="text1"/>
        </w:rPr>
        <w:t xml:space="preserve"> that the service works with</w:t>
      </w:r>
    </w:p>
    <w:p w:rsidR="00E90F86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 w:rsidRPr="00C806CC">
        <w:rPr>
          <w:rFonts w:cs="Arial"/>
          <w:color w:val="000000" w:themeColor="text1"/>
        </w:rPr>
        <w:t xml:space="preserve">community structures and networks to better respond to the needs of </w:t>
      </w:r>
      <w:r w:rsidRPr="00BE6519">
        <w:rPr>
          <w:rFonts w:cs="Arial"/>
        </w:rPr>
        <w:t>targeted</w:t>
      </w:r>
      <w:r>
        <w:rPr>
          <w:rFonts w:cs="Arial"/>
          <w:color w:val="000000" w:themeColor="text1"/>
        </w:rPr>
        <w:t xml:space="preserve"> clients and communities</w:t>
      </w:r>
    </w:p>
    <w:p w:rsidR="00E90F86" w:rsidRPr="00F5390A" w:rsidRDefault="00E90F86" w:rsidP="00E90F86">
      <w:pPr>
        <w:pStyle w:val="ListParagraph"/>
        <w:widowControl w:val="0"/>
        <w:numPr>
          <w:ilvl w:val="1"/>
          <w:numId w:val="1"/>
        </w:numPr>
        <w:spacing w:before="80" w:after="80" w:line="240" w:lineRule="auto"/>
        <w:contextualSpacing w:val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social cohesion.</w:t>
      </w:r>
    </w:p>
    <w:p w:rsidR="00E90F86" w:rsidRDefault="00E90F86" w:rsidP="00E90F86">
      <w:pPr>
        <w:spacing w:before="120"/>
        <w:rPr>
          <w:rFonts w:cs="Arial"/>
          <w:color w:val="000000" w:themeColor="text1"/>
        </w:rPr>
      </w:pPr>
      <w:r w:rsidRPr="00C34AF5">
        <w:rPr>
          <w:rFonts w:cs="Arial"/>
          <w:color w:val="000000" w:themeColor="text1"/>
        </w:rPr>
        <w:t xml:space="preserve">The type of outcome domain that will be relevant will depend on the context of the </w:t>
      </w:r>
      <w:r>
        <w:rPr>
          <w:rFonts w:cs="Arial"/>
          <w:color w:val="000000" w:themeColor="text1"/>
        </w:rPr>
        <w:t>program</w:t>
      </w:r>
      <w:r w:rsidRPr="00C34AF5">
        <w:rPr>
          <w:rFonts w:cs="Arial"/>
          <w:color w:val="000000" w:themeColor="text1"/>
        </w:rPr>
        <w:t xml:space="preserve">. With this in mind, </w:t>
      </w:r>
      <w:r>
        <w:rPr>
          <w:rFonts w:cs="Arial"/>
          <w:color w:val="000000" w:themeColor="text1"/>
        </w:rPr>
        <w:t>organisations</w:t>
      </w:r>
      <w:r w:rsidRPr="00C34AF5">
        <w:rPr>
          <w:rFonts w:cs="Arial"/>
          <w:color w:val="000000" w:themeColor="text1"/>
        </w:rPr>
        <w:t xml:space="preserve"> only have to report against the domain in each SCORE component that they </w:t>
      </w:r>
      <w:r>
        <w:rPr>
          <w:rFonts w:cs="Arial"/>
          <w:color w:val="000000" w:themeColor="text1"/>
        </w:rPr>
        <w:t>think is most relevant. Organisations</w:t>
      </w:r>
      <w:r w:rsidRPr="00C34AF5">
        <w:rPr>
          <w:rFonts w:cs="Arial"/>
          <w:color w:val="000000" w:themeColor="text1"/>
        </w:rPr>
        <w:t xml:space="preserve"> have the option of reporting on one or more additional domains if they consider these important</w:t>
      </w:r>
      <w:r>
        <w:rPr>
          <w:rFonts w:cs="Arial"/>
          <w:color w:val="000000" w:themeColor="text1"/>
        </w:rPr>
        <w:t>.</w:t>
      </w:r>
    </w:p>
    <w:p w:rsidR="00E90F86" w:rsidRDefault="00E90F86" w:rsidP="00E90F86">
      <w:pPr>
        <w:spacing w:before="12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Go to </w:t>
      </w:r>
      <w:hyperlink r:id="rId11" w:history="1">
        <w:r w:rsidRPr="00F5390A">
          <w:rPr>
            <w:rStyle w:val="Hyperlink"/>
            <w:rFonts w:cs="Arial"/>
          </w:rPr>
          <w:t>Data Exchange Protocols</w:t>
        </w:r>
      </w:hyperlink>
      <w:r w:rsidRPr="006012B5">
        <w:rPr>
          <w:rFonts w:cs="Arial"/>
        </w:rPr>
        <w:t xml:space="preserve"> </w:t>
      </w:r>
      <w:r>
        <w:rPr>
          <w:rFonts w:cs="Arial"/>
        </w:rPr>
        <w:t>for</w:t>
      </w:r>
      <w:r w:rsidRPr="00BE6519">
        <w:rPr>
          <w:rFonts w:cs="Arial"/>
        </w:rPr>
        <w:t xml:space="preserve"> </w:t>
      </w:r>
      <w:r>
        <w:rPr>
          <w:rFonts w:cs="Arial"/>
          <w:color w:val="000000" w:themeColor="text1"/>
        </w:rPr>
        <w:t>more practical</w:t>
      </w:r>
      <w:r w:rsidRPr="00C34AF5">
        <w:rPr>
          <w:rFonts w:cs="Arial"/>
          <w:color w:val="000000" w:themeColor="text1"/>
        </w:rPr>
        <w:t xml:space="preserve"> detail</w:t>
      </w:r>
      <w:r>
        <w:rPr>
          <w:rFonts w:cs="Arial"/>
          <w:color w:val="000000" w:themeColor="text1"/>
        </w:rPr>
        <w:t>s on how to apply SCORE.</w:t>
      </w:r>
    </w:p>
    <w:p w:rsidR="0039339C" w:rsidRDefault="0039339C" w:rsidP="00A97AF8">
      <w:pPr>
        <w:rPr>
          <w:b/>
        </w:rPr>
      </w:pPr>
    </w:p>
    <w:p w:rsidR="00A97AF8" w:rsidRPr="00D751D4" w:rsidRDefault="0039339C" w:rsidP="00D751D4">
      <w:pPr>
        <w:spacing w:before="120" w:after="0"/>
        <w:rPr>
          <w:b/>
          <w:sz w:val="16"/>
          <w:szCs w:val="16"/>
        </w:rPr>
      </w:pPr>
      <w:r w:rsidRPr="0039339C">
        <w:rPr>
          <w:rStyle w:val="Heading2Char"/>
          <w:color w:val="215868" w:themeColor="accent5" w:themeShade="80"/>
          <w:sz w:val="28"/>
          <w:szCs w:val="28"/>
          <w:shd w:val="clear" w:color="auto" w:fill="FFFFFF" w:themeFill="background1"/>
        </w:rPr>
        <w:lastRenderedPageBreak/>
        <w:t>Example of how SCORE works across domains</w:t>
      </w:r>
      <w:r>
        <w:rPr>
          <w:b/>
        </w:rPr>
        <w:br/>
      </w:r>
      <w:r w:rsidR="00D751D4">
        <w:rPr>
          <w:b/>
        </w:rPr>
        <w:br/>
      </w:r>
      <w:r w:rsidR="00A97AF8" w:rsidRPr="00D503BA">
        <w:rPr>
          <w:b/>
        </w:rPr>
        <w:t xml:space="preserve">SCORE component 1: Changed client circumstances </w:t>
      </w:r>
      <w:r w:rsidR="00D751D4">
        <w:rPr>
          <w:b/>
        </w:rPr>
        <w:br/>
      </w:r>
      <w:r w:rsidR="00A97AF8" w:rsidRPr="00D751D4">
        <w:rPr>
          <w:rStyle w:val="Heading4Char"/>
          <w:i w:val="0"/>
          <w:sz w:val="18"/>
          <w:szCs w:val="18"/>
        </w:rPr>
        <w:t>Table 1. Example domain</w:t>
      </w:r>
      <w:r w:rsidR="00A97AF8" w:rsidRPr="00D751D4">
        <w:rPr>
          <w:b/>
          <w:sz w:val="18"/>
          <w:szCs w:val="18"/>
        </w:rPr>
        <w:t>: Circumstance – family functioning</w:t>
      </w:r>
    </w:p>
    <w:tbl>
      <w:tblPr>
        <w:tblW w:w="9639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560"/>
        <w:gridCol w:w="27"/>
        <w:gridCol w:w="1588"/>
        <w:gridCol w:w="86"/>
        <w:gridCol w:w="1501"/>
        <w:gridCol w:w="58"/>
        <w:gridCol w:w="1417"/>
        <w:gridCol w:w="113"/>
        <w:gridCol w:w="1588"/>
      </w:tblGrid>
      <w:tr w:rsidR="00A97AF8" w:rsidTr="001C4C04">
        <w:trPr>
          <w:trHeight w:val="584"/>
          <w:tblHeader/>
        </w:trPr>
        <w:tc>
          <w:tcPr>
            <w:tcW w:w="1701" w:type="dxa"/>
            <w:shd w:val="clear" w:color="auto" w:fill="01215C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SCORE outcome domain</w:t>
            </w:r>
          </w:p>
        </w:tc>
        <w:tc>
          <w:tcPr>
            <w:tcW w:w="1560" w:type="dxa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progress in achieving outcome</w:t>
            </w:r>
          </w:p>
        </w:tc>
        <w:tc>
          <w:tcPr>
            <w:tcW w:w="1701" w:type="dxa"/>
            <w:gridSpan w:val="3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2:</w:t>
            </w:r>
          </w:p>
          <w:p w:rsidR="00A97AF8" w:rsidRPr="00A958C5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958C5">
              <w:rPr>
                <w:rFonts w:ascii="Cambria" w:eastAsia="Calibri" w:hAnsi="Cambria" w:cs="Times New Roman"/>
                <w:sz w:val="20"/>
                <w:szCs w:val="20"/>
              </w:rPr>
              <w:t>Limited progress</w:t>
            </w:r>
          </w:p>
        </w:tc>
        <w:tc>
          <w:tcPr>
            <w:tcW w:w="1559" w:type="dxa"/>
            <w:gridSpan w:val="2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3:</w:t>
            </w:r>
          </w:p>
          <w:p w:rsidR="00A97AF8" w:rsidRPr="00A958C5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Some p</w:t>
            </w:r>
            <w:r w:rsidRPr="00A958C5">
              <w:rPr>
                <w:rFonts w:ascii="Cambria" w:eastAsia="Calibri" w:hAnsi="Cambria" w:cs="Times New Roman"/>
                <w:sz w:val="20"/>
                <w:szCs w:val="20"/>
              </w:rPr>
              <w:t>rogress</w:t>
            </w:r>
          </w:p>
        </w:tc>
        <w:tc>
          <w:tcPr>
            <w:tcW w:w="1417" w:type="dxa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4:</w:t>
            </w:r>
          </w:p>
          <w:p w:rsidR="00A97AF8" w:rsidRPr="00A958C5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 w:rsidRPr="00A958C5">
              <w:rPr>
                <w:rFonts w:ascii="Cambria" w:eastAsia="Calibri" w:hAnsi="Cambria" w:cs="Times New Roman"/>
                <w:sz w:val="20"/>
                <w:szCs w:val="20"/>
              </w:rPr>
              <w:t>Moderate progress</w:t>
            </w:r>
          </w:p>
        </w:tc>
        <w:tc>
          <w:tcPr>
            <w:tcW w:w="1701" w:type="dxa"/>
            <w:gridSpan w:val="2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5:</w:t>
            </w:r>
          </w:p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Outcome fully achieved</w:t>
            </w:r>
            <w:r>
              <w:rPr>
                <w:b/>
                <w:szCs w:val="24"/>
                <w:lang w:val="en-US"/>
              </w:rPr>
              <w:t xml:space="preserve"> </w:t>
            </w:r>
          </w:p>
        </w:tc>
      </w:tr>
      <w:tr w:rsidR="00A97AF8" w:rsidTr="001C4C04">
        <w:trPr>
          <w:trHeight w:val="1247"/>
        </w:trPr>
        <w:tc>
          <w:tcPr>
            <w:tcW w:w="1701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Family functioning</w:t>
            </w:r>
          </w:p>
        </w:tc>
        <w:tc>
          <w:tcPr>
            <w:tcW w:w="1587" w:type="dxa"/>
            <w:gridSpan w:val="2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Significant negative impact of poor family functioning  on independence, participation and wellbeing</w:t>
            </w:r>
          </w:p>
        </w:tc>
        <w:tc>
          <w:tcPr>
            <w:tcW w:w="1588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Moderate negative impact of poor family functioning  on independence, participation and wellbeing</w:t>
            </w:r>
          </w:p>
        </w:tc>
        <w:tc>
          <w:tcPr>
            <w:tcW w:w="1587" w:type="dxa"/>
            <w:gridSpan w:val="2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Progress towards improving family functioning  to support  independence, participation and wellbeing</w:t>
            </w:r>
          </w:p>
        </w:tc>
        <w:tc>
          <w:tcPr>
            <w:tcW w:w="1588" w:type="dxa"/>
            <w:gridSpan w:val="3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Adequate short-term  family functioning  to support  independence, participation and wellbeing</w:t>
            </w:r>
          </w:p>
        </w:tc>
        <w:tc>
          <w:tcPr>
            <w:tcW w:w="1588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Adequate on-going family functioning  to support  independence, participation and wellbeing</w:t>
            </w:r>
          </w:p>
        </w:tc>
      </w:tr>
    </w:tbl>
    <w:p w:rsidR="00A97AF8" w:rsidRPr="0039339C" w:rsidRDefault="00A97AF8" w:rsidP="00A97AF8">
      <w:pPr>
        <w:pStyle w:val="Heading3"/>
        <w:rPr>
          <w:rStyle w:val="Heading4Char"/>
          <w:b/>
          <w:i w:val="0"/>
          <w:sz w:val="18"/>
          <w:szCs w:val="18"/>
        </w:rPr>
      </w:pPr>
      <w:r w:rsidRPr="00D503BA">
        <w:t>SCORE component 2: Progress in achieving individual goals</w:t>
      </w:r>
      <w:r>
        <w:br/>
      </w:r>
      <w:r w:rsidRPr="0039339C">
        <w:rPr>
          <w:rStyle w:val="Heading4Char"/>
          <w:b/>
          <w:i w:val="0"/>
          <w:sz w:val="18"/>
          <w:szCs w:val="18"/>
        </w:rPr>
        <w:t>Table 2. Example domain: Goal – Changed knowledge and access to information</w:t>
      </w:r>
    </w:p>
    <w:tbl>
      <w:tblPr>
        <w:tblW w:w="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59"/>
        <w:gridCol w:w="1276"/>
        <w:gridCol w:w="1842"/>
      </w:tblGrid>
      <w:tr w:rsidR="00A97AF8" w:rsidTr="001C4C04">
        <w:trPr>
          <w:trHeight w:val="763"/>
          <w:tblHeader/>
        </w:trPr>
        <w:tc>
          <w:tcPr>
            <w:tcW w:w="1701" w:type="dxa"/>
            <w:shd w:val="clear" w:color="auto" w:fill="01215C"/>
            <w:hideMark/>
          </w:tcPr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SCORE goal domain</w:t>
            </w:r>
          </w:p>
        </w:tc>
        <w:tc>
          <w:tcPr>
            <w:tcW w:w="1701" w:type="dxa"/>
            <w:shd w:val="clear" w:color="auto" w:fill="01215C"/>
            <w:hideMark/>
          </w:tcPr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1</w:t>
            </w:r>
            <w:r>
              <w:rPr>
                <w:szCs w:val="24"/>
                <w:lang w:val="en-US"/>
              </w:rPr>
              <w:t>:</w:t>
            </w:r>
          </w:p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No progress in achieving goals</w:t>
            </w:r>
          </w:p>
        </w:tc>
        <w:tc>
          <w:tcPr>
            <w:tcW w:w="1560" w:type="dxa"/>
            <w:shd w:val="clear" w:color="auto" w:fill="01215C"/>
            <w:hideMark/>
          </w:tcPr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2:</w:t>
            </w:r>
          </w:p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szCs w:val="24"/>
                <w:lang w:val="en-US"/>
              </w:rPr>
            </w:pPr>
            <w:r w:rsidRPr="00A958C5">
              <w:rPr>
                <w:sz w:val="20"/>
                <w:szCs w:val="20"/>
              </w:rPr>
              <w:t>Limited progress</w:t>
            </w:r>
          </w:p>
        </w:tc>
        <w:tc>
          <w:tcPr>
            <w:tcW w:w="1559" w:type="dxa"/>
            <w:shd w:val="clear" w:color="auto" w:fill="01215C"/>
            <w:hideMark/>
          </w:tcPr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3:</w:t>
            </w:r>
          </w:p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sz w:val="20"/>
                <w:szCs w:val="20"/>
              </w:rPr>
              <w:t>Some p</w:t>
            </w:r>
            <w:r w:rsidRPr="00A958C5">
              <w:rPr>
                <w:sz w:val="20"/>
                <w:szCs w:val="20"/>
              </w:rPr>
              <w:t>rogress</w:t>
            </w:r>
          </w:p>
        </w:tc>
        <w:tc>
          <w:tcPr>
            <w:tcW w:w="1276" w:type="dxa"/>
            <w:shd w:val="clear" w:color="auto" w:fill="01215C"/>
            <w:hideMark/>
          </w:tcPr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4:</w:t>
            </w:r>
          </w:p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b/>
                <w:szCs w:val="24"/>
                <w:lang w:val="en-US"/>
              </w:rPr>
            </w:pPr>
            <w:r w:rsidRPr="00A958C5">
              <w:rPr>
                <w:sz w:val="20"/>
                <w:szCs w:val="20"/>
              </w:rPr>
              <w:t>Moderate progress</w:t>
            </w:r>
          </w:p>
        </w:tc>
        <w:tc>
          <w:tcPr>
            <w:tcW w:w="1842" w:type="dxa"/>
            <w:shd w:val="clear" w:color="auto" w:fill="01215C"/>
            <w:hideMark/>
          </w:tcPr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Cs w:val="24"/>
                <w:lang w:val="en-US"/>
              </w:rPr>
            </w:pPr>
            <w:r>
              <w:rPr>
                <w:b/>
                <w:szCs w:val="24"/>
                <w:lang w:val="en-US"/>
              </w:rPr>
              <w:t>5:</w:t>
            </w:r>
          </w:p>
          <w:p w:rsidR="00A97AF8" w:rsidRDefault="00A97AF8" w:rsidP="001C4C04">
            <w:pPr>
              <w:pStyle w:val="ListBullet"/>
              <w:numPr>
                <w:ilvl w:val="0"/>
                <w:numId w:val="0"/>
              </w:numPr>
              <w:tabs>
                <w:tab w:val="left" w:pos="720"/>
              </w:tabs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Goals fully achieved</w:t>
            </w:r>
          </w:p>
        </w:tc>
      </w:tr>
      <w:tr w:rsidR="00A97AF8" w:rsidTr="001C4C04">
        <w:trPr>
          <w:trHeight w:val="1021"/>
        </w:trPr>
        <w:tc>
          <w:tcPr>
            <w:tcW w:w="1701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Changed knowledge and access to information</w:t>
            </w:r>
          </w:p>
        </w:tc>
        <w:tc>
          <w:tcPr>
            <w:tcW w:w="1701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 xml:space="preserve">No progress in increasing awareness and knowledge in areas relevant to client’s needs and circumstance </w:t>
            </w:r>
          </w:p>
        </w:tc>
        <w:tc>
          <w:tcPr>
            <w:tcW w:w="1560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Limited progress to date in achieving knowledge goals –but emerging engagement</w:t>
            </w:r>
          </w:p>
        </w:tc>
        <w:tc>
          <w:tcPr>
            <w:tcW w:w="1559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Limited progress to date in achieving knowledge goals –but strong engagement</w:t>
            </w:r>
          </w:p>
        </w:tc>
        <w:tc>
          <w:tcPr>
            <w:tcW w:w="1276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Moderate progress to date in achieving knowledge goals</w:t>
            </w:r>
          </w:p>
        </w:tc>
        <w:tc>
          <w:tcPr>
            <w:tcW w:w="1842" w:type="dxa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Full achievement of goals related to increasing awareness and knowledge in areas relevant to client’s needs and circumstance</w:t>
            </w:r>
          </w:p>
        </w:tc>
      </w:tr>
    </w:tbl>
    <w:p w:rsidR="00A97AF8" w:rsidRPr="0039339C" w:rsidRDefault="00A97AF8" w:rsidP="00A97AF8">
      <w:pPr>
        <w:pStyle w:val="Heading3"/>
        <w:rPr>
          <w:i/>
          <w:sz w:val="18"/>
          <w:szCs w:val="18"/>
        </w:rPr>
      </w:pPr>
      <w:r w:rsidRPr="00D503BA">
        <w:t>SCORE component 3: Client satisfaction</w:t>
      </w:r>
      <w:r>
        <w:t xml:space="preserve"> </w:t>
      </w:r>
      <w:r>
        <w:br/>
      </w:r>
      <w:r w:rsidRPr="0039339C">
        <w:rPr>
          <w:rStyle w:val="Heading4Char"/>
          <w:b/>
          <w:bCs/>
          <w:i w:val="0"/>
          <w:sz w:val="18"/>
          <w:szCs w:val="18"/>
        </w:rPr>
        <w:t>Table 3. Example domain</w:t>
      </w:r>
      <w:r w:rsidRPr="0039339C">
        <w:rPr>
          <w:rStyle w:val="Heading4Char"/>
          <w:b/>
          <w:i w:val="0"/>
          <w:sz w:val="18"/>
          <w:szCs w:val="18"/>
        </w:rPr>
        <w:t>: Client Satisfaction</w:t>
      </w:r>
    </w:p>
    <w:tbl>
      <w:tblPr>
        <w:tblW w:w="9696" w:type="dxa"/>
        <w:tblBorders>
          <w:bottom w:val="single" w:sz="8" w:space="0" w:color="01215C"/>
          <w:insideH w:val="single" w:sz="8" w:space="0" w:color="EEECE1"/>
        </w:tblBorders>
        <w:tblLayout w:type="fixed"/>
        <w:tblCellMar>
          <w:top w:w="113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191"/>
        <w:gridCol w:w="1418"/>
        <w:gridCol w:w="1701"/>
        <w:gridCol w:w="1322"/>
        <w:gridCol w:w="1654"/>
      </w:tblGrid>
      <w:tr w:rsidR="00A97AF8" w:rsidTr="001C4C04">
        <w:trPr>
          <w:tblHeader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15C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SCORE client satisfaction domain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Disagree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2: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Tend to disagree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3: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Neither agree or disagree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Tend to agree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5: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Agree</w:t>
            </w:r>
          </w:p>
        </w:tc>
      </w:tr>
      <w:tr w:rsidR="00A97AF8" w:rsidTr="001C4C04">
        <w:trPr>
          <w:trHeight w:val="79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The service listened to me and understood my issues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statusText w:type="text" w:val="Disagree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mbria" w:eastAsia="Calibri" w:hAnsi="Cambria" w:cs="Times New Roman"/>
                <w:sz w:val="16"/>
                <w:szCs w:val="16"/>
              </w:rPr>
              <w:instrText xml:space="preserve"> FORMCHECKBOX </w:instrText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statusText w:type="text" w:val="tend to disagree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Cambria" w:eastAsia="Calibri" w:hAnsi="Cambria" w:cs="Times New Roman"/>
                <w:sz w:val="16"/>
                <w:szCs w:val="16"/>
              </w:rPr>
              <w:instrText xml:space="preserve"> FORMCHECKBOX </w:instrText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statusText w:type="text" w:val="Neither agree nor disagree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>
              <w:rPr>
                <w:rFonts w:ascii="Cambria" w:eastAsia="Calibri" w:hAnsi="Cambria" w:cs="Times New Roman"/>
                <w:sz w:val="16"/>
                <w:szCs w:val="16"/>
              </w:rPr>
              <w:instrText xml:space="preserve"> FORMCHECKBOX </w:instrText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statusText w:type="text" w:val="tend to agree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>
              <w:rPr>
                <w:rFonts w:ascii="Cambria" w:eastAsia="Calibri" w:hAnsi="Cambria" w:cs="Times New Roman"/>
                <w:sz w:val="16"/>
                <w:szCs w:val="16"/>
              </w:rPr>
              <w:instrText xml:space="preserve"> FORMCHECKBOX </w:instrText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statusText w:type="text" w:val="agree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>
              <w:rPr>
                <w:rFonts w:ascii="Cambria" w:eastAsia="Calibri" w:hAnsi="Cambria" w:cs="Times New Roman"/>
                <w:sz w:val="16"/>
                <w:szCs w:val="16"/>
              </w:rPr>
              <w:instrText xml:space="preserve"> FORMCHECKBOX </w:instrText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</w:r>
            <w:r w:rsidR="008302D8">
              <w:rPr>
                <w:rFonts w:ascii="Cambria" w:eastAsia="Calibri" w:hAnsi="Cambria" w:cs="Times New Roman"/>
                <w:sz w:val="16"/>
                <w:szCs w:val="16"/>
              </w:rPr>
              <w:fldChar w:fldCharType="separate"/>
            </w:r>
            <w:r>
              <w:rPr>
                <w:rFonts w:ascii="Cambria" w:eastAsia="Calibri" w:hAnsi="Cambria" w:cs="Times New Roman"/>
                <w:sz w:val="16"/>
                <w:szCs w:val="16"/>
              </w:rPr>
              <w:fldChar w:fldCharType="end"/>
            </w:r>
            <w:bookmarkEnd w:id="5"/>
          </w:p>
        </w:tc>
      </w:tr>
    </w:tbl>
    <w:p w:rsidR="00A97AF8" w:rsidRPr="0039339C" w:rsidRDefault="00A97AF8" w:rsidP="0039339C">
      <w:pPr>
        <w:pStyle w:val="Heading2"/>
        <w:rPr>
          <w:rStyle w:val="Heading4Char"/>
          <w:b/>
          <w:i w:val="0"/>
          <w:sz w:val="18"/>
          <w:szCs w:val="18"/>
        </w:rPr>
      </w:pPr>
      <w:bookmarkStart w:id="6" w:name="_Toc389567011"/>
      <w:r w:rsidRPr="00D503BA">
        <w:rPr>
          <w:rFonts w:cs="Arial"/>
          <w:color w:val="000000" w:themeColor="text1"/>
          <w:sz w:val="22"/>
          <w:szCs w:val="22"/>
        </w:rPr>
        <w:t>SCORE for group and community activities</w:t>
      </w:r>
      <w:bookmarkEnd w:id="6"/>
      <w:r>
        <w:rPr>
          <w:rFonts w:cs="Arial"/>
          <w:color w:val="000000" w:themeColor="text1"/>
          <w:szCs w:val="22"/>
        </w:rPr>
        <w:br/>
      </w:r>
      <w:r w:rsidRPr="0039339C">
        <w:rPr>
          <w:rStyle w:val="Heading4Char"/>
          <w:b/>
          <w:i w:val="0"/>
          <w:sz w:val="18"/>
          <w:szCs w:val="18"/>
        </w:rPr>
        <w:t>Table</w:t>
      </w:r>
      <w:r w:rsidR="00D51916">
        <w:rPr>
          <w:rStyle w:val="Heading4Char"/>
          <w:b/>
          <w:i w:val="0"/>
          <w:sz w:val="18"/>
          <w:szCs w:val="18"/>
        </w:rPr>
        <w:t xml:space="preserve"> 4. Example domain: Communities</w:t>
      </w:r>
    </w:p>
    <w:tbl>
      <w:tblPr>
        <w:tblW w:w="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2410"/>
        <w:gridCol w:w="1276"/>
        <w:gridCol w:w="1559"/>
        <w:gridCol w:w="1559"/>
        <w:gridCol w:w="1276"/>
        <w:gridCol w:w="1559"/>
      </w:tblGrid>
      <w:tr w:rsidR="00A97AF8" w:rsidTr="001C4C04">
        <w:trPr>
          <w:tblHeader/>
        </w:trPr>
        <w:tc>
          <w:tcPr>
            <w:tcW w:w="2410" w:type="dxa"/>
            <w:shd w:val="clear" w:color="auto" w:fill="01215C"/>
            <w:hideMark/>
          </w:tcPr>
          <w:p w:rsidR="00A97AF8" w:rsidRDefault="00A97AF8" w:rsidP="001C4C0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SCORE community domain</w:t>
            </w:r>
          </w:p>
        </w:tc>
        <w:tc>
          <w:tcPr>
            <w:tcW w:w="1276" w:type="dxa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1</w:t>
            </w:r>
            <w:r>
              <w:rPr>
                <w:rFonts w:ascii="Cambria" w:eastAsia="Calibri" w:hAnsi="Cambria" w:cs="Times New Roman"/>
                <w:sz w:val="24"/>
                <w:szCs w:val="24"/>
              </w:rPr>
              <w:t>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No change</w:t>
            </w:r>
          </w:p>
        </w:tc>
        <w:tc>
          <w:tcPr>
            <w:tcW w:w="1559" w:type="dxa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2: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A958C5">
              <w:rPr>
                <w:rFonts w:ascii="Cambria" w:eastAsia="Calibri" w:hAnsi="Cambria" w:cs="Times New Roman"/>
                <w:sz w:val="20"/>
                <w:szCs w:val="20"/>
              </w:rPr>
              <w:t xml:space="preserve">Limited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change</w:t>
            </w:r>
          </w:p>
        </w:tc>
        <w:tc>
          <w:tcPr>
            <w:tcW w:w="1559" w:type="dxa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3: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Some</w:t>
            </w:r>
            <w:r w:rsidRPr="00A958C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change</w:t>
            </w:r>
          </w:p>
        </w:tc>
        <w:tc>
          <w:tcPr>
            <w:tcW w:w="1276" w:type="dxa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4: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Moderate</w:t>
            </w:r>
            <w:r w:rsidRPr="00A958C5">
              <w:rPr>
                <w:rFonts w:ascii="Cambria" w:eastAsia="Calibri" w:hAnsi="Cambria" w:cs="Times New Roman"/>
                <w:sz w:val="20"/>
                <w:szCs w:val="20"/>
              </w:rPr>
              <w:t xml:space="preserve"> </w:t>
            </w:r>
            <w:r>
              <w:rPr>
                <w:rFonts w:ascii="Cambria" w:eastAsia="Calibri" w:hAnsi="Cambria" w:cs="Times New Roman"/>
                <w:sz w:val="20"/>
                <w:szCs w:val="20"/>
              </w:rPr>
              <w:t>change</w:t>
            </w:r>
          </w:p>
        </w:tc>
        <w:tc>
          <w:tcPr>
            <w:tcW w:w="1559" w:type="dxa"/>
            <w:shd w:val="clear" w:color="auto" w:fill="01215C"/>
            <w:hideMark/>
          </w:tcPr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5:</w:t>
            </w:r>
          </w:p>
          <w:p w:rsidR="00A97AF8" w:rsidRDefault="00A97AF8" w:rsidP="001C4C04">
            <w:pPr>
              <w:jc w:val="center"/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Significant change</w:t>
            </w:r>
          </w:p>
        </w:tc>
      </w:tr>
      <w:tr w:rsidR="00A97AF8" w:rsidTr="001C4C04">
        <w:tc>
          <w:tcPr>
            <w:tcW w:w="2410" w:type="dxa"/>
            <w:hideMark/>
          </w:tcPr>
          <w:p w:rsidR="00A97AF8" w:rsidRDefault="00BA1B63" w:rsidP="001C4C04">
            <w:pPr>
              <w:rPr>
                <w:rFonts w:ascii="Cambria" w:eastAsia="Calibri" w:hAnsi="Cambria" w:cs="Times New Roman"/>
                <w:sz w:val="20"/>
                <w:szCs w:val="20"/>
              </w:rPr>
            </w:pPr>
            <w:r>
              <w:rPr>
                <w:rFonts w:ascii="Cambria" w:eastAsia="Calibri" w:hAnsi="Cambria" w:cs="Times New Roman"/>
                <w:sz w:val="20"/>
                <w:szCs w:val="20"/>
              </w:rPr>
              <w:t>Group/</w:t>
            </w:r>
            <w:r w:rsidR="00A97AF8">
              <w:rPr>
                <w:rFonts w:ascii="Cambria" w:eastAsia="Calibri" w:hAnsi="Cambria" w:cs="Times New Roman"/>
                <w:sz w:val="20"/>
                <w:szCs w:val="20"/>
              </w:rPr>
              <w:t xml:space="preserve">community knowledge, skills, behaviours to better address their own needs </w:t>
            </w:r>
          </w:p>
        </w:tc>
        <w:tc>
          <w:tcPr>
            <w:tcW w:w="1276" w:type="dxa"/>
            <w:hideMark/>
          </w:tcPr>
          <w:p w:rsidR="00A97AF8" w:rsidRDefault="00A97AF8" w:rsidP="001C4C04">
            <w:pPr>
              <w:spacing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No change in knowledge, skills, behaviours to better address their own needs</w:t>
            </w:r>
          </w:p>
        </w:tc>
        <w:tc>
          <w:tcPr>
            <w:tcW w:w="1559" w:type="dxa"/>
            <w:hideMark/>
          </w:tcPr>
          <w:p w:rsidR="00A97AF8" w:rsidRDefault="00A97AF8" w:rsidP="001C4C04">
            <w:pPr>
              <w:spacing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Limited change in knowledge, skills, behaviours – but emerging engagement</w:t>
            </w:r>
          </w:p>
        </w:tc>
        <w:tc>
          <w:tcPr>
            <w:tcW w:w="1559" w:type="dxa"/>
            <w:hideMark/>
          </w:tcPr>
          <w:p w:rsidR="00A97AF8" w:rsidRDefault="00A97AF8" w:rsidP="001C4C04">
            <w:pPr>
              <w:spacing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Limited change in knowledge, skills, behaviours – but strong engagement</w:t>
            </w:r>
          </w:p>
        </w:tc>
        <w:tc>
          <w:tcPr>
            <w:tcW w:w="1276" w:type="dxa"/>
            <w:hideMark/>
          </w:tcPr>
          <w:p w:rsidR="00A97AF8" w:rsidRDefault="00A97AF8" w:rsidP="001C4C04">
            <w:pPr>
              <w:spacing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Moderate change in knowledge, skills, behaviours</w:t>
            </w:r>
          </w:p>
        </w:tc>
        <w:tc>
          <w:tcPr>
            <w:tcW w:w="1559" w:type="dxa"/>
            <w:hideMark/>
          </w:tcPr>
          <w:p w:rsidR="00A97AF8" w:rsidRDefault="00A97AF8" w:rsidP="001C4C04">
            <w:pPr>
              <w:spacing w:line="240" w:lineRule="auto"/>
              <w:rPr>
                <w:rFonts w:ascii="Cambria" w:eastAsia="Calibri" w:hAnsi="Cambria" w:cs="Times New Roman"/>
                <w:sz w:val="16"/>
                <w:szCs w:val="16"/>
              </w:rPr>
            </w:pPr>
            <w:r>
              <w:rPr>
                <w:rFonts w:ascii="Cambria" w:eastAsia="Calibri" w:hAnsi="Cambria" w:cs="Times New Roman"/>
                <w:sz w:val="16"/>
                <w:szCs w:val="16"/>
              </w:rPr>
              <w:t>Significant positive change in knowledge, skills, behaviours to better address their own needs</w:t>
            </w:r>
          </w:p>
        </w:tc>
      </w:tr>
    </w:tbl>
    <w:p w:rsidR="007B0256" w:rsidRPr="00B91E3E" w:rsidRDefault="007B0256" w:rsidP="0039339C"/>
    <w:sectPr w:rsidR="007B0256" w:rsidRPr="00B91E3E" w:rsidSect="00A97AF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02D8" w:rsidRDefault="008302D8" w:rsidP="00B04ED8">
      <w:pPr>
        <w:spacing w:after="0" w:line="240" w:lineRule="auto"/>
      </w:pPr>
      <w:r>
        <w:separator/>
      </w:r>
    </w:p>
  </w:endnote>
  <w:endnote w:type="continuationSeparator" w:id="0">
    <w:p w:rsidR="008302D8" w:rsidRDefault="008302D8" w:rsidP="00B04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709" w:type="pct"/>
      <w:tblInd w:w="-720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00"/>
      <w:gridCol w:w="1006"/>
    </w:tblGrid>
    <w:tr w:rsidR="00A97AF8" w:rsidTr="00135C3D">
      <w:trPr>
        <w:trHeight w:val="391"/>
      </w:trPr>
      <w:tc>
        <w:tcPr>
          <w:tcW w:w="4512" w:type="pct"/>
          <w:tcBorders>
            <w:top w:val="single" w:sz="4" w:space="0" w:color="000000" w:themeColor="text1"/>
          </w:tcBorders>
        </w:tcPr>
        <w:p w:rsidR="00E90F86" w:rsidRPr="00A221B7" w:rsidRDefault="00A97AF8" w:rsidP="00691AB6">
          <w:pPr>
            <w:pStyle w:val="Footer"/>
            <w:tabs>
              <w:tab w:val="clear" w:pos="4513"/>
              <w:tab w:val="center" w:pos="4662"/>
            </w:tabs>
            <w:ind w:left="22" w:right="-1721" w:firstLine="578"/>
            <w:rPr>
              <w:rFonts w:cs="Arial"/>
              <w:sz w:val="18"/>
              <w:szCs w:val="18"/>
            </w:rPr>
          </w:pPr>
          <w:r>
            <w:rPr>
              <w:rFonts w:cs="Arial"/>
              <w:sz w:val="18"/>
              <w:szCs w:val="18"/>
            </w:rPr>
            <w:t>SCORE – at a glance</w:t>
          </w:r>
          <w:r w:rsidR="005532D5">
            <w:rPr>
              <w:rFonts w:cs="Arial"/>
              <w:sz w:val="18"/>
              <w:szCs w:val="18"/>
            </w:rPr>
            <w:ptab w:relativeTo="margin" w:alignment="center" w:leader="none"/>
          </w:r>
          <w:r w:rsidR="00E50EF9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Version 2</w:t>
          </w:r>
          <w:r w:rsidR="0085585D">
            <w:rPr>
              <w:rFonts w:cs="Arial"/>
              <w:sz w:val="18"/>
              <w:szCs w:val="18"/>
            </w:rPr>
            <w:t xml:space="preserve"> </w:t>
          </w:r>
          <w:r w:rsidR="0085585D">
            <w:rPr>
              <w:rFonts w:cs="Arial"/>
              <w:sz w:val="18"/>
              <w:szCs w:val="18"/>
            </w:rPr>
            <w:ptab w:relativeTo="margin" w:alignment="right" w:leader="none"/>
          </w:r>
          <w:r w:rsidR="00691AB6">
            <w:rPr>
              <w:rFonts w:cs="Arial"/>
              <w:sz w:val="18"/>
              <w:szCs w:val="18"/>
            </w:rPr>
            <w:t>6 July</w:t>
          </w:r>
          <w:r>
            <w:rPr>
              <w:rFonts w:cs="Arial"/>
              <w:sz w:val="18"/>
              <w:szCs w:val="18"/>
            </w:rPr>
            <w:t xml:space="preserve"> 20</w:t>
          </w:r>
          <w:r w:rsidR="00691AB6">
            <w:rPr>
              <w:rFonts w:cs="Arial"/>
              <w:sz w:val="18"/>
              <w:szCs w:val="18"/>
            </w:rPr>
            <w:t>20</w:t>
          </w:r>
        </w:p>
      </w:tc>
      <w:tc>
        <w:tcPr>
          <w:tcW w:w="488" w:type="pct"/>
          <w:tcBorders>
            <w:top w:val="single" w:sz="4" w:space="0" w:color="C0504D" w:themeColor="accent2"/>
          </w:tcBorders>
          <w:shd w:val="clear" w:color="auto" w:fill="215868" w:themeFill="accent5" w:themeFillShade="80"/>
        </w:tcPr>
        <w:p w:rsidR="00E90F86" w:rsidRPr="00B97810" w:rsidRDefault="00E90F86" w:rsidP="00E90F86">
          <w:pPr>
            <w:pStyle w:val="Header"/>
            <w:tabs>
              <w:tab w:val="center" w:pos="469"/>
              <w:tab w:val="right" w:pos="938"/>
            </w:tabs>
            <w:rPr>
              <w:rFonts w:cs="Arial"/>
              <w:b/>
              <w:color w:val="FFFFFF" w:themeColor="background1"/>
            </w:rPr>
          </w:pPr>
          <w:r w:rsidRPr="00B97810">
            <w:rPr>
              <w:rFonts w:cs="Arial"/>
              <w:b/>
            </w:rPr>
            <w:fldChar w:fldCharType="begin"/>
          </w:r>
          <w:r w:rsidRPr="00B97810">
            <w:rPr>
              <w:rFonts w:cs="Arial"/>
              <w:b/>
            </w:rPr>
            <w:instrText xml:space="preserve"> PAGE   \* MERGEFORMAT </w:instrText>
          </w:r>
          <w:r w:rsidRPr="00B97810">
            <w:rPr>
              <w:rFonts w:cs="Arial"/>
              <w:b/>
            </w:rPr>
            <w:fldChar w:fldCharType="separate"/>
          </w:r>
          <w:r w:rsidR="00691AB6" w:rsidRPr="00691AB6">
            <w:rPr>
              <w:rFonts w:cs="Arial"/>
              <w:b/>
              <w:noProof/>
              <w:color w:val="FFFFFF" w:themeColor="background1"/>
            </w:rPr>
            <w:t>1</w:t>
          </w:r>
          <w:r w:rsidRPr="00B97810">
            <w:rPr>
              <w:rFonts w:cs="Arial"/>
              <w:b/>
              <w:noProof/>
              <w:color w:val="FFFFFF" w:themeColor="background1"/>
            </w:rPr>
            <w:fldChar w:fldCharType="end"/>
          </w:r>
        </w:p>
      </w:tc>
    </w:tr>
  </w:tbl>
  <w:p w:rsidR="00B04ED8" w:rsidRDefault="00B04E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02D8" w:rsidRDefault="008302D8" w:rsidP="00B04ED8">
      <w:pPr>
        <w:spacing w:after="0" w:line="240" w:lineRule="auto"/>
      </w:pPr>
      <w:r>
        <w:separator/>
      </w:r>
    </w:p>
  </w:footnote>
  <w:footnote w:type="continuationSeparator" w:id="0">
    <w:p w:rsidR="008302D8" w:rsidRDefault="008302D8" w:rsidP="00B04E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C1227"/>
    <w:multiLevelType w:val="multilevel"/>
    <w:tmpl w:val="0C207A9A"/>
    <w:styleLink w:val="Bullets"/>
    <w:lvl w:ilvl="0">
      <w:start w:val="1"/>
      <w:numFmt w:val="bullet"/>
      <w:pStyle w:val="ListBullet"/>
      <w:lvlText w:val=""/>
      <w:lvlJc w:val="left"/>
      <w:pPr>
        <w:tabs>
          <w:tab w:val="num" w:pos="454"/>
        </w:tabs>
        <w:ind w:left="454" w:hanging="454"/>
      </w:pPr>
      <w:rPr>
        <w:rFonts w:ascii="Wingdings" w:hAnsi="Wingdings" w:hint="default"/>
      </w:rPr>
    </w:lvl>
    <w:lvl w:ilvl="1">
      <w:start w:val="1"/>
      <w:numFmt w:val="bullet"/>
      <w:pStyle w:val="Listdashlevel2"/>
      <w:lvlText w:val="–"/>
      <w:lvlJc w:val="left"/>
      <w:pPr>
        <w:tabs>
          <w:tab w:val="num" w:pos="907"/>
        </w:tabs>
        <w:ind w:left="907" w:hanging="453"/>
      </w:pPr>
      <w:rPr>
        <w:rFonts w:ascii="Arial" w:hAnsi="Arial" w:hint="default"/>
      </w:rPr>
    </w:lvl>
    <w:lvl w:ilvl="2">
      <w:start w:val="1"/>
      <w:numFmt w:val="none"/>
      <w:lvlText w:val=""/>
      <w:lvlJc w:val="left"/>
      <w:pPr>
        <w:tabs>
          <w:tab w:val="num" w:pos="794"/>
        </w:tabs>
        <w:ind w:left="907" w:hanging="453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D452F92"/>
    <w:multiLevelType w:val="hybridMultilevel"/>
    <w:tmpl w:val="932438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removePersonalInformation/>
  <w:removeDateAndTim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F86"/>
    <w:rsid w:val="00005633"/>
    <w:rsid w:val="00057885"/>
    <w:rsid w:val="00135C3D"/>
    <w:rsid w:val="00135F93"/>
    <w:rsid w:val="001E630D"/>
    <w:rsid w:val="00280C92"/>
    <w:rsid w:val="00284DC9"/>
    <w:rsid w:val="003919A0"/>
    <w:rsid w:val="0039339C"/>
    <w:rsid w:val="003B2BB8"/>
    <w:rsid w:val="003D34FF"/>
    <w:rsid w:val="004B54CA"/>
    <w:rsid w:val="004E5CBF"/>
    <w:rsid w:val="004F0BE4"/>
    <w:rsid w:val="00534AE8"/>
    <w:rsid w:val="005532D5"/>
    <w:rsid w:val="005A1F04"/>
    <w:rsid w:val="005A61D5"/>
    <w:rsid w:val="005C3AA9"/>
    <w:rsid w:val="00621FC5"/>
    <w:rsid w:val="00637B02"/>
    <w:rsid w:val="00683A84"/>
    <w:rsid w:val="00691AB6"/>
    <w:rsid w:val="006A4CE7"/>
    <w:rsid w:val="006F0B51"/>
    <w:rsid w:val="00785261"/>
    <w:rsid w:val="007B0256"/>
    <w:rsid w:val="008302D8"/>
    <w:rsid w:val="0083177B"/>
    <w:rsid w:val="0085585D"/>
    <w:rsid w:val="009225F0"/>
    <w:rsid w:val="0093462C"/>
    <w:rsid w:val="00953795"/>
    <w:rsid w:val="00974189"/>
    <w:rsid w:val="00997A08"/>
    <w:rsid w:val="00A97AF8"/>
    <w:rsid w:val="00B04ED8"/>
    <w:rsid w:val="00B4447C"/>
    <w:rsid w:val="00B91E3E"/>
    <w:rsid w:val="00BA1B63"/>
    <w:rsid w:val="00BA2DB9"/>
    <w:rsid w:val="00BE7148"/>
    <w:rsid w:val="00C0733C"/>
    <w:rsid w:val="00C2580B"/>
    <w:rsid w:val="00C3086B"/>
    <w:rsid w:val="00C84DD7"/>
    <w:rsid w:val="00CB5863"/>
    <w:rsid w:val="00D51916"/>
    <w:rsid w:val="00D751D4"/>
    <w:rsid w:val="00DA243A"/>
    <w:rsid w:val="00E16B00"/>
    <w:rsid w:val="00E273E4"/>
    <w:rsid w:val="00E50EF9"/>
    <w:rsid w:val="00E90F86"/>
    <w:rsid w:val="00F30AFE"/>
    <w:rsid w:val="00FE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BA34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A0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4B54CA"/>
    <w:pPr>
      <w:spacing w:before="480" w:after="0"/>
      <w:contextualSpacing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aliases w:val="DEX Heading 2"/>
    <w:basedOn w:val="Normal"/>
    <w:next w:val="Normal"/>
    <w:link w:val="Heading2Char"/>
    <w:uiPriority w:val="9"/>
    <w:unhideWhenUsed/>
    <w:qFormat/>
    <w:rsid w:val="004B54CA"/>
    <w:pPr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54CA"/>
    <w:pPr>
      <w:spacing w:before="200" w:after="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4CA"/>
    <w:pPr>
      <w:spacing w:before="200" w:after="0"/>
      <w:outlineLvl w:val="3"/>
    </w:pPr>
    <w:rPr>
      <w:rFonts w:eastAsiaTheme="majorEastAsia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B54CA"/>
    <w:pPr>
      <w:spacing w:before="200" w:after="0"/>
      <w:outlineLvl w:val="4"/>
    </w:pPr>
    <w:rPr>
      <w:rFonts w:eastAsiaTheme="majorEastAsia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B54CA"/>
    <w:pPr>
      <w:spacing w:after="0" w:line="271" w:lineRule="auto"/>
      <w:outlineLvl w:val="5"/>
    </w:pPr>
    <w:rPr>
      <w:rFonts w:eastAsiaTheme="majorEastAsia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B54CA"/>
    <w:pPr>
      <w:spacing w:after="0"/>
      <w:outlineLvl w:val="6"/>
    </w:pPr>
    <w:rPr>
      <w:rFonts w:eastAsiaTheme="majorEastAsia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B54CA"/>
    <w:pPr>
      <w:spacing w:after="0"/>
      <w:outlineLvl w:val="7"/>
    </w:pPr>
    <w:rPr>
      <w:rFonts w:eastAsiaTheme="majorEastAsia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B54CA"/>
    <w:pPr>
      <w:spacing w:after="0"/>
      <w:outlineLvl w:val="8"/>
    </w:pPr>
    <w:rPr>
      <w:rFonts w:eastAsiaTheme="majorEastAsia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B54CA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aliases w:val="DEX Heading 2 Char"/>
    <w:basedOn w:val="DefaultParagraphFont"/>
    <w:link w:val="Heading2"/>
    <w:uiPriority w:val="9"/>
    <w:rsid w:val="004B54CA"/>
    <w:rPr>
      <w:rFonts w:ascii="Arial" w:eastAsiaTheme="majorEastAsia" w:hAnsi="Arial" w:cstheme="majorBidi"/>
      <w:b/>
      <w:bCs/>
      <w:sz w:val="26"/>
      <w:szCs w:val="26"/>
    </w:rPr>
  </w:style>
  <w:style w:type="paragraph" w:styleId="NoSpacing">
    <w:name w:val="No Spacing"/>
    <w:basedOn w:val="Normal"/>
    <w:link w:val="NoSpacingChar"/>
    <w:uiPriority w:val="1"/>
    <w:qFormat/>
    <w:rsid w:val="004B54CA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4B54CA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4B54CA"/>
    <w:rPr>
      <w:rFonts w:ascii="Arial" w:eastAsiaTheme="majorEastAsia" w:hAnsi="Arial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B54CA"/>
    <w:rPr>
      <w:rFonts w:ascii="Arial" w:eastAsiaTheme="majorEastAsia" w:hAnsi="Arial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4B54CA"/>
    <w:rPr>
      <w:rFonts w:ascii="Arial" w:eastAsiaTheme="majorEastAsia" w:hAnsi="Arial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4B54CA"/>
    <w:rPr>
      <w:rFonts w:ascii="Arial" w:eastAsiaTheme="majorEastAsia" w:hAnsi="Arial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4B54CA"/>
    <w:rPr>
      <w:rFonts w:ascii="Arial" w:eastAsiaTheme="majorEastAsia" w:hAnsi="Arial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B54CA"/>
    <w:rPr>
      <w:rFonts w:ascii="Arial" w:eastAsiaTheme="majorEastAsia" w:hAnsi="Arial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B54CA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B54CA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B54CA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B54CA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ubtleEmphasis">
    <w:name w:val="Subtle Emphasis"/>
    <w:uiPriority w:val="19"/>
    <w:qFormat/>
    <w:rsid w:val="004B54CA"/>
    <w:rPr>
      <w:i/>
      <w:iCs/>
    </w:rPr>
  </w:style>
  <w:style w:type="character" w:styleId="Strong">
    <w:name w:val="Strong"/>
    <w:uiPriority w:val="22"/>
    <w:qFormat/>
    <w:rsid w:val="004B54CA"/>
    <w:rPr>
      <w:b/>
      <w:bCs/>
    </w:rPr>
  </w:style>
  <w:style w:type="paragraph" w:styleId="ListParagraph">
    <w:name w:val="List Paragraph"/>
    <w:basedOn w:val="Normal"/>
    <w:uiPriority w:val="1"/>
    <w:qFormat/>
    <w:rsid w:val="004B54CA"/>
    <w:pPr>
      <w:ind w:left="720"/>
      <w:contextualSpacing/>
    </w:pPr>
  </w:style>
  <w:style w:type="character" w:styleId="Emphasis">
    <w:name w:val="Emphasis"/>
    <w:uiPriority w:val="20"/>
    <w:qFormat/>
    <w:rsid w:val="004B54CA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styleId="IntenseEmphasis">
    <w:name w:val="Intense Emphasis"/>
    <w:uiPriority w:val="21"/>
    <w:qFormat/>
    <w:rsid w:val="004B54CA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B54C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4B54CA"/>
    <w:rPr>
      <w:rFonts w:ascii="Arial" w:hAnsi="Arial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54C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54CA"/>
    <w:rPr>
      <w:rFonts w:ascii="Arial" w:hAnsi="Arial"/>
      <w:b/>
      <w:bCs/>
      <w:i/>
      <w:iCs/>
    </w:rPr>
  </w:style>
  <w:style w:type="character" w:styleId="SubtleReference">
    <w:name w:val="Subtle Reference"/>
    <w:uiPriority w:val="31"/>
    <w:qFormat/>
    <w:rsid w:val="004B54CA"/>
    <w:rPr>
      <w:smallCaps/>
    </w:rPr>
  </w:style>
  <w:style w:type="character" w:styleId="IntenseReference">
    <w:name w:val="Intense Reference"/>
    <w:uiPriority w:val="32"/>
    <w:qFormat/>
    <w:rsid w:val="004B54CA"/>
    <w:rPr>
      <w:smallCaps/>
      <w:spacing w:val="5"/>
      <w:u w:val="single"/>
    </w:rPr>
  </w:style>
  <w:style w:type="character" w:styleId="BookTitle">
    <w:name w:val="Book Title"/>
    <w:uiPriority w:val="33"/>
    <w:qFormat/>
    <w:rsid w:val="004B54CA"/>
    <w:rPr>
      <w:i/>
      <w:iCs/>
      <w:smallCap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rsid w:val="00785261"/>
    <w:rPr>
      <w:b/>
      <w:bCs/>
      <w:caps/>
      <w:sz w:val="16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54CA"/>
    <w:pPr>
      <w:outlineLvl w:val="9"/>
    </w:pPr>
    <w:rPr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B54CA"/>
    <w:rPr>
      <w:rFonts w:ascii="Arial" w:hAnsi="Arial"/>
    </w:rPr>
  </w:style>
  <w:style w:type="paragraph" w:styleId="Header">
    <w:name w:val="header"/>
    <w:basedOn w:val="Normal"/>
    <w:link w:val="Head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4ED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B04E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4ED8"/>
    <w:rPr>
      <w:rFonts w:ascii="Arial" w:hAnsi="Arial"/>
    </w:rPr>
  </w:style>
  <w:style w:type="paragraph" w:customStyle="1" w:styleId="DEXStyle">
    <w:name w:val="DEX Style"/>
    <w:basedOn w:val="Heading1"/>
    <w:next w:val="Normal"/>
    <w:qFormat/>
    <w:rsid w:val="00C0733C"/>
    <w:pPr>
      <w:keepNext/>
      <w:keepLines/>
      <w:spacing w:before="400" w:after="40" w:line="240" w:lineRule="auto"/>
      <w:contextualSpacing w:val="0"/>
    </w:pPr>
    <w:rPr>
      <w:rFonts w:ascii="Georgia" w:hAnsi="Georgia"/>
      <w:b w:val="0"/>
      <w:bCs w:val="0"/>
      <w:color w:val="215868" w:themeColor="accent5" w:themeShade="80"/>
      <w:sz w:val="52"/>
      <w:szCs w:val="36"/>
    </w:rPr>
  </w:style>
  <w:style w:type="paragraph" w:customStyle="1" w:styleId="DEXHeading1">
    <w:name w:val="DEX Heading1"/>
    <w:basedOn w:val="Heading1"/>
    <w:next w:val="Normal"/>
    <w:link w:val="DEXHeading1Char"/>
    <w:qFormat/>
    <w:rsid w:val="00997A08"/>
    <w:pPr>
      <w:keepNext/>
      <w:keepLines/>
      <w:spacing w:before="400" w:after="40" w:line="240" w:lineRule="auto"/>
      <w:contextualSpacing w:val="0"/>
    </w:pPr>
    <w:rPr>
      <w:rFonts w:ascii="Georgia" w:hAnsi="Georgia"/>
      <w:b w:val="0"/>
      <w:bCs w:val="0"/>
      <w:color w:val="215868" w:themeColor="accent5" w:themeShade="80"/>
      <w:sz w:val="52"/>
      <w:szCs w:val="36"/>
    </w:rPr>
  </w:style>
  <w:style w:type="character" w:customStyle="1" w:styleId="DEXHeading1Char">
    <w:name w:val="DEX Heading1 Char"/>
    <w:basedOn w:val="DefaultParagraphFont"/>
    <w:link w:val="DEXHeading1"/>
    <w:rsid w:val="00E90F86"/>
    <w:rPr>
      <w:rFonts w:ascii="Georgia" w:eastAsiaTheme="majorEastAsia" w:hAnsi="Georgia" w:cstheme="majorBidi"/>
      <w:color w:val="215868" w:themeColor="accent5" w:themeShade="80"/>
      <w:sz w:val="52"/>
      <w:szCs w:val="36"/>
    </w:rPr>
  </w:style>
  <w:style w:type="character" w:styleId="Hyperlink">
    <w:name w:val="Hyperlink"/>
    <w:basedOn w:val="DefaultParagraphFont"/>
    <w:uiPriority w:val="99"/>
    <w:unhideWhenUsed/>
    <w:rsid w:val="00E90F86"/>
    <w:rPr>
      <w:color w:val="0000FF" w:themeColor="hyperlink"/>
      <w:u w:val="single"/>
    </w:rPr>
  </w:style>
  <w:style w:type="paragraph" w:customStyle="1" w:styleId="Listdashlevel2">
    <w:name w:val="List dash (level 2)"/>
    <w:basedOn w:val="Normal"/>
    <w:qFormat/>
    <w:rsid w:val="00A97AF8"/>
    <w:pPr>
      <w:numPr>
        <w:ilvl w:val="1"/>
        <w:numId w:val="2"/>
      </w:numPr>
      <w:spacing w:after="0" w:line="240" w:lineRule="auto"/>
    </w:pPr>
    <w:rPr>
      <w:rFonts w:ascii="Cambria" w:eastAsia="Calibri" w:hAnsi="Cambria" w:cs="Times New Roman"/>
      <w:sz w:val="24"/>
    </w:rPr>
  </w:style>
  <w:style w:type="paragraph" w:styleId="ListBullet">
    <w:name w:val="List Bullet"/>
    <w:basedOn w:val="Normal"/>
    <w:uiPriority w:val="99"/>
    <w:unhideWhenUsed/>
    <w:qFormat/>
    <w:rsid w:val="00A97AF8"/>
    <w:pPr>
      <w:numPr>
        <w:numId w:val="2"/>
      </w:numPr>
      <w:spacing w:after="0" w:line="240" w:lineRule="auto"/>
    </w:pPr>
    <w:rPr>
      <w:rFonts w:ascii="Cambria" w:eastAsia="Calibri" w:hAnsi="Cambria" w:cs="Times New Roman"/>
      <w:sz w:val="24"/>
    </w:rPr>
  </w:style>
  <w:style w:type="numbering" w:customStyle="1" w:styleId="Bullets">
    <w:name w:val="Bullets"/>
    <w:uiPriority w:val="99"/>
    <w:rsid w:val="00A97AF8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8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91A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ex.dss.gov.au/document/8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ex.dss.gov.au/document/30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FA851-3B57-43E2-87F0-6624DCCAF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1001</Words>
  <Characters>5710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2020-07-06T03:50:00Z</dcterms:created>
  <dcterms:modified xsi:type="dcterms:W3CDTF">2020-07-06T03:50:00Z</dcterms:modified>
</cp:coreProperties>
</file>