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AE" w:rsidRPr="00862594" w:rsidRDefault="004F17C6" w:rsidP="004F15AF">
      <w:pPr>
        <w:pStyle w:val="Heading1"/>
        <w:tabs>
          <w:tab w:val="left" w:pos="7650"/>
        </w:tabs>
        <w:spacing w:before="0" w:after="240"/>
        <w:contextualSpacing w:val="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Service </w:t>
      </w:r>
      <w:r w:rsidR="00CC790C">
        <w:rPr>
          <w:rStyle w:val="TitleChar"/>
          <w:rFonts w:ascii="Georgia" w:hAnsi="Georgia" w:cs="Arial"/>
          <w:b w:val="0"/>
          <w:color w:val="04617B" w:themeColor="text2"/>
        </w:rPr>
        <w:t>footprint</w:t>
      </w:r>
    </w:p>
    <w:p w:rsidR="00A62FAE" w:rsidRPr="006B1507" w:rsidRDefault="002E3525" w:rsidP="004F15AF">
      <w:pPr>
        <w:pStyle w:val="Heading2"/>
        <w:spacing w:before="240" w:after="240"/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</w:pPr>
      <w:r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Partnership approach - r</w:t>
      </w:r>
      <w:r w:rsidR="004F15AF" w:rsidRPr="004F17C6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eport </w:t>
      </w:r>
      <w:r w:rsidR="004F17C6" w:rsidRPr="004F17C6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available to </w:t>
      </w:r>
      <w:r w:rsidR="004F15AF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participating </w:t>
      </w:r>
      <w:r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organisations</w:t>
      </w:r>
      <w:r w:rsidR="005F2FF9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key feature for the service footprint report"/>
        <w:tblDescription w:val="This table highlights the unique features, key questions and main filters of the ervice footprint report"/>
      </w:tblPr>
      <w:tblGrid>
        <w:gridCol w:w="2976"/>
        <w:gridCol w:w="7480"/>
        <w:gridCol w:w="10"/>
      </w:tblGrid>
      <w:tr w:rsidR="00532B36" w:rsidTr="00900AB4">
        <w:trPr>
          <w:gridAfter w:val="1"/>
          <w:wAfter w:w="10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36" w:rsidRDefault="00446E02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96000" cy="788210"/>
                  <wp:effectExtent l="38100" t="38100" r="19050" b="12065"/>
                  <wp:docPr id="1" name="Picture 1" descr="This is an image of the Service footprint report icon" title="Service footprint rep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8821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C562F7" w:rsidRDefault="004F17C6" w:rsidP="00C20A81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C562F7">
              <w:rPr>
                <w:rFonts w:ascii="Arial" w:hAnsi="Arial" w:cs="Arial"/>
                <w:color w:val="000000" w:themeColor="text1"/>
                <w:szCs w:val="20"/>
              </w:rPr>
              <w:t xml:space="preserve">This report demonstrates </w:t>
            </w:r>
            <w:r w:rsidR="00235C7B" w:rsidRPr="00C562F7">
              <w:rPr>
                <w:rFonts w:ascii="Arial" w:hAnsi="Arial" w:cs="Arial"/>
                <w:color w:val="000000" w:themeColor="text1"/>
                <w:szCs w:val="20"/>
              </w:rPr>
              <w:t>outputs</w:t>
            </w:r>
            <w:r w:rsidRPr="00C562F7">
              <w:rPr>
                <w:rFonts w:ascii="Arial" w:hAnsi="Arial" w:cs="Arial"/>
                <w:color w:val="000000" w:themeColor="text1"/>
                <w:szCs w:val="20"/>
              </w:rPr>
              <w:t xml:space="preserve"> by outlet and region, to allow organisations to see where clients live, compared to where services are being delivered</w:t>
            </w:r>
            <w:r w:rsidR="00235C7B" w:rsidRPr="00C562F7">
              <w:rPr>
                <w:rFonts w:ascii="Arial" w:hAnsi="Arial" w:cs="Arial"/>
                <w:color w:val="000000" w:themeColor="text1"/>
                <w:szCs w:val="20"/>
              </w:rPr>
              <w:t>, or where staff are travelling to deliver them</w:t>
            </w:r>
            <w:r w:rsidRPr="00C562F7">
              <w:rPr>
                <w:rFonts w:ascii="Arial" w:hAnsi="Arial" w:cs="Arial"/>
                <w:color w:val="000000" w:themeColor="text1"/>
                <w:szCs w:val="20"/>
              </w:rPr>
              <w:t xml:space="preserve">. The mapping functionality </w:t>
            </w:r>
            <w:r w:rsidR="00C20A81">
              <w:rPr>
                <w:rFonts w:ascii="Arial" w:hAnsi="Arial" w:cs="Arial"/>
                <w:color w:val="000000" w:themeColor="text1"/>
                <w:szCs w:val="20"/>
              </w:rPr>
              <w:t>includes the ability to</w:t>
            </w:r>
            <w:r w:rsidRPr="00C562F7">
              <w:rPr>
                <w:rFonts w:ascii="Arial" w:hAnsi="Arial" w:cs="Arial"/>
                <w:color w:val="000000" w:themeColor="text1"/>
                <w:szCs w:val="20"/>
              </w:rPr>
              <w:t xml:space="preserve"> zoom in or out of statistical area (SA) levels. Report filters allow data to be displayed by reporting period, program activity and/or outlet.</w:t>
            </w:r>
          </w:p>
          <w:p w:rsidR="00446E02" w:rsidRPr="00C562F7" w:rsidRDefault="00446E02" w:rsidP="00C20A81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46E02" w:rsidRPr="004322C9" w:rsidTr="00AC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6" w:type="dxa"/>
            <w:gridSpan w:val="3"/>
            <w:shd w:val="clear" w:color="auto" w:fill="0B5167"/>
          </w:tcPr>
          <w:p w:rsidR="00446E02" w:rsidRPr="004322C9" w:rsidRDefault="00446E02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Unique features</w:t>
            </w: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  <w:t>:</w:t>
            </w:r>
          </w:p>
        </w:tc>
      </w:tr>
      <w:tr w:rsidR="00C562F7" w:rsidTr="00900AB4">
        <w:trPr>
          <w:gridAfter w:val="1"/>
          <w:wAfter w:w="10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2F7" w:rsidRPr="00516AF2" w:rsidRDefault="00C562F7" w:rsidP="005E6285">
            <w:pPr>
              <w:spacing w:after="120" w:line="240" w:lineRule="auto"/>
              <w:ind w:right="-23"/>
              <w:rPr>
                <w:noProof/>
                <w:szCs w:val="20"/>
                <w:lang w:eastAsia="en-A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C562F7" w:rsidRDefault="00516AF2" w:rsidP="00516AF2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‘Heat map’ functionality which allows for zooming in and out of </w:t>
            </w:r>
            <w:r w:rsidR="00C20A81">
              <w:rPr>
                <w:rFonts w:ascii="Arial" w:hAnsi="Arial" w:cs="Arial"/>
                <w:color w:val="000000" w:themeColor="text1"/>
                <w:szCs w:val="20"/>
              </w:rPr>
              <w:t>maps</w:t>
            </w:r>
          </w:p>
          <w:p w:rsidR="00516AF2" w:rsidRPr="00C562F7" w:rsidRDefault="00516AF2" w:rsidP="00C20A8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Allows a visualisation of client and outl</w:t>
            </w:r>
            <w:r w:rsidR="00C20A81">
              <w:rPr>
                <w:rFonts w:ascii="Arial" w:hAnsi="Arial" w:cs="Arial"/>
                <w:color w:val="000000" w:themeColor="text1"/>
                <w:szCs w:val="20"/>
              </w:rPr>
              <w:t xml:space="preserve">et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location</w:t>
            </w:r>
            <w:r w:rsidR="00C20A81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, which can provide insights into </w:t>
            </w:r>
            <w:r w:rsidR="00C20A81">
              <w:rPr>
                <w:rFonts w:ascii="Arial" w:hAnsi="Arial" w:cs="Arial"/>
                <w:color w:val="000000" w:themeColor="text1"/>
                <w:szCs w:val="20"/>
              </w:rPr>
              <w:t xml:space="preserve">staff and client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travel distances and the suitability of service delivery locations</w:t>
            </w:r>
          </w:p>
        </w:tc>
      </w:tr>
      <w:tr w:rsidR="00446E02" w:rsidRPr="004322C9" w:rsidTr="00AC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6" w:type="dxa"/>
            <w:gridSpan w:val="3"/>
            <w:shd w:val="clear" w:color="auto" w:fill="0B5167"/>
          </w:tcPr>
          <w:p w:rsidR="00446E02" w:rsidRPr="004322C9" w:rsidRDefault="00446E02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Key questions:</w:t>
            </w:r>
          </w:p>
        </w:tc>
      </w:tr>
      <w:tr w:rsidR="00A94C9B" w:rsidTr="0027609F">
        <w:trPr>
          <w:gridAfter w:val="1"/>
          <w:wAfter w:w="10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94C9B" w:rsidRPr="00516AF2" w:rsidRDefault="00A94C9B" w:rsidP="009321F9">
            <w:pPr>
              <w:spacing w:after="120" w:line="240" w:lineRule="auto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A94C9B" w:rsidRDefault="007568E4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program activities do we deliver?</w:t>
            </w:r>
            <w:r w:rsidR="00946A92">
              <w:rPr>
                <w:rFonts w:ascii="Arial" w:hAnsi="Arial" w:cs="Arial"/>
                <w:szCs w:val="20"/>
              </w:rPr>
              <w:t xml:space="preserve"> </w:t>
            </w:r>
            <w:r w:rsidR="009321F9">
              <w:rPr>
                <w:rFonts w:ascii="Arial" w:hAnsi="Arial" w:cs="Arial"/>
                <w:szCs w:val="20"/>
              </w:rPr>
              <w:t>Where? Are there areas where there could be gaps?</w:t>
            </w:r>
            <w:r w:rsidR="00516AF2">
              <w:rPr>
                <w:rFonts w:ascii="Arial" w:hAnsi="Arial" w:cs="Arial"/>
                <w:szCs w:val="20"/>
              </w:rPr>
              <w:t xml:space="preserve"> Or areas of overlapping services?</w:t>
            </w:r>
          </w:p>
          <w:p w:rsidR="00235C7B" w:rsidRDefault="00241758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</w:t>
            </w:r>
            <w:r w:rsidR="007568E4">
              <w:rPr>
                <w:rFonts w:ascii="Arial" w:hAnsi="Arial" w:cs="Arial"/>
                <w:szCs w:val="20"/>
              </w:rPr>
              <w:t xml:space="preserve"> are </w:t>
            </w:r>
            <w:r>
              <w:rPr>
                <w:rFonts w:ascii="Arial" w:hAnsi="Arial" w:cs="Arial"/>
                <w:szCs w:val="20"/>
              </w:rPr>
              <w:t>c</w:t>
            </w:r>
            <w:r w:rsidR="007568E4">
              <w:rPr>
                <w:rFonts w:ascii="Arial" w:hAnsi="Arial" w:cs="Arial"/>
                <w:szCs w:val="20"/>
              </w:rPr>
              <w:t>lients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235C7B">
              <w:rPr>
                <w:rFonts w:ascii="Arial" w:hAnsi="Arial" w:cs="Arial"/>
                <w:szCs w:val="20"/>
              </w:rPr>
              <w:t>and sessions d</w:t>
            </w:r>
            <w:r>
              <w:rPr>
                <w:rFonts w:ascii="Arial" w:hAnsi="Arial" w:cs="Arial"/>
                <w:szCs w:val="20"/>
              </w:rPr>
              <w:t>o we have</w:t>
            </w:r>
            <w:r w:rsidR="007568E4">
              <w:rPr>
                <w:rFonts w:ascii="Arial" w:hAnsi="Arial" w:cs="Arial"/>
                <w:szCs w:val="20"/>
              </w:rPr>
              <w:t xml:space="preserve">? </w:t>
            </w:r>
            <w:r w:rsidR="009321F9">
              <w:rPr>
                <w:rFonts w:ascii="Arial" w:hAnsi="Arial" w:cs="Arial"/>
                <w:szCs w:val="20"/>
              </w:rPr>
              <w:t xml:space="preserve">If there are differences </w:t>
            </w:r>
            <w:r w:rsidR="00516AF2">
              <w:rPr>
                <w:rFonts w:ascii="Arial" w:hAnsi="Arial" w:cs="Arial"/>
                <w:szCs w:val="20"/>
              </w:rPr>
              <w:t xml:space="preserve">in client or session numbers </w:t>
            </w:r>
            <w:r w:rsidR="009321F9">
              <w:rPr>
                <w:rFonts w:ascii="Arial" w:hAnsi="Arial" w:cs="Arial"/>
                <w:szCs w:val="20"/>
              </w:rPr>
              <w:t>between areas or outlets, what could the reasons be?</w:t>
            </w:r>
          </w:p>
          <w:p w:rsidR="007568E4" w:rsidRPr="009321F9" w:rsidRDefault="00241758" w:rsidP="00DB3B1F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9321F9">
              <w:rPr>
                <w:rFonts w:ascii="Arial" w:hAnsi="Arial" w:cs="Arial"/>
                <w:szCs w:val="20"/>
              </w:rPr>
              <w:t>Where</w:t>
            </w:r>
            <w:r w:rsidR="007568E4" w:rsidRPr="009321F9">
              <w:rPr>
                <w:rFonts w:ascii="Arial" w:hAnsi="Arial" w:cs="Arial"/>
                <w:szCs w:val="20"/>
              </w:rPr>
              <w:t xml:space="preserve"> do </w:t>
            </w:r>
            <w:r w:rsidR="00446E02">
              <w:rPr>
                <w:rFonts w:ascii="Arial" w:hAnsi="Arial" w:cs="Arial"/>
                <w:szCs w:val="20"/>
              </w:rPr>
              <w:t>our clients live compared to where our services are delivered? Do we need to review the location of our outlets?</w:t>
            </w:r>
          </w:p>
          <w:p w:rsidR="00952D29" w:rsidRDefault="00952D29" w:rsidP="009321F9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does our client group look like? Does the demographic composition correspond to what we expect to see for our program?</w:t>
            </w:r>
          </w:p>
          <w:p w:rsidR="007568E4" w:rsidRPr="00241758" w:rsidRDefault="009321F9" w:rsidP="00952D29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Is there a trend </w:t>
            </w:r>
            <w:r w:rsidR="00952D29">
              <w:rPr>
                <w:rFonts w:ascii="Arial" w:hAnsi="Arial" w:cs="Arial"/>
                <w:szCs w:val="20"/>
              </w:rPr>
              <w:t xml:space="preserve">in the location of clients or outlets </w:t>
            </w:r>
            <w:r>
              <w:rPr>
                <w:rFonts w:ascii="Arial" w:hAnsi="Arial" w:cs="Arial"/>
                <w:szCs w:val="20"/>
              </w:rPr>
              <w:t>which could have an impact or our staffing or other resourcing in future? How can we prepare for this?</w:t>
            </w:r>
          </w:p>
        </w:tc>
      </w:tr>
      <w:tr w:rsidR="00446E02" w:rsidRPr="004322C9" w:rsidTr="00AC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6" w:type="dxa"/>
            <w:gridSpan w:val="3"/>
            <w:shd w:val="clear" w:color="auto" w:fill="0B5167"/>
          </w:tcPr>
          <w:p w:rsidR="00446E02" w:rsidRPr="004322C9" w:rsidRDefault="00446E02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Main filters:</w:t>
            </w:r>
          </w:p>
        </w:tc>
      </w:tr>
      <w:tr w:rsidR="00524637" w:rsidTr="0027609F">
        <w:trPr>
          <w:gridAfter w:val="1"/>
          <w:wAfter w:w="10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24637" w:rsidRPr="00516AF2" w:rsidRDefault="00524637" w:rsidP="005E6285">
            <w:pPr>
              <w:spacing w:after="120" w:line="240" w:lineRule="auto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946A92" w:rsidRPr="004F17C6" w:rsidRDefault="004F17C6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Financial year</w:t>
            </w:r>
            <w:r w:rsidR="00D57AD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/ Reporting</w:t>
            </w:r>
            <w:r w:rsidR="00946A92" w:rsidRPr="00E3036B">
              <w:rPr>
                <w:rFonts w:ascii="Arial" w:hAnsi="Arial" w:cs="Arial"/>
                <w:color w:val="000000" w:themeColor="text1"/>
                <w:szCs w:val="20"/>
              </w:rPr>
              <w:t xml:space="preserve"> period</w:t>
            </w:r>
          </w:p>
          <w:p w:rsidR="00574F3B" w:rsidRDefault="00946A92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Program</w:t>
            </w:r>
            <w:r w:rsidR="004F17C6">
              <w:rPr>
                <w:rFonts w:ascii="Arial" w:hAnsi="Arial" w:cs="Arial"/>
                <w:color w:val="000000" w:themeColor="text1"/>
                <w:szCs w:val="20"/>
              </w:rPr>
              <w:t xml:space="preserve"> and</w:t>
            </w:r>
            <w:r w:rsidRPr="00E3036B">
              <w:rPr>
                <w:rFonts w:ascii="Arial" w:hAnsi="Arial" w:cs="Arial"/>
                <w:color w:val="000000" w:themeColor="text1"/>
                <w:szCs w:val="20"/>
              </w:rPr>
              <w:t xml:space="preserve"> activity</w:t>
            </w:r>
          </w:p>
          <w:p w:rsidR="00235C7B" w:rsidRPr="00235C7B" w:rsidRDefault="00F06F7E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Organisation / </w:t>
            </w:r>
            <w:r w:rsidR="00235C7B">
              <w:rPr>
                <w:rFonts w:ascii="Arial" w:hAnsi="Arial" w:cs="Arial"/>
                <w:color w:val="000000" w:themeColor="text1"/>
                <w:szCs w:val="20"/>
              </w:rPr>
              <w:t>Outlets</w:t>
            </w:r>
          </w:p>
        </w:tc>
      </w:tr>
    </w:tbl>
    <w:p w:rsidR="00516AF2" w:rsidRDefault="00516AF2" w:rsidP="005E6285">
      <w:pPr>
        <w:spacing w:after="120" w:line="240" w:lineRule="auto"/>
        <w:ind w:right="-23"/>
        <w:rPr>
          <w:rFonts w:ascii="Arial" w:hAnsi="Arial" w:cs="Arial"/>
          <w:noProof/>
          <w:color w:val="FFFFFF" w:themeColor="background1"/>
          <w:sz w:val="22"/>
          <w:u w:val="single"/>
          <w:lang w:eastAsia="en-AU"/>
        </w:rPr>
      </w:pPr>
    </w:p>
    <w:p w:rsidR="00516AF2" w:rsidRDefault="00516AF2">
      <w:pPr>
        <w:suppressAutoHyphens w:val="0"/>
        <w:spacing w:before="0" w:after="200" w:line="276" w:lineRule="auto"/>
        <w:rPr>
          <w:rFonts w:ascii="Arial" w:hAnsi="Arial" w:cs="Arial"/>
          <w:noProof/>
          <w:color w:val="FFFFFF" w:themeColor="background1"/>
          <w:sz w:val="22"/>
          <w:u w:val="single"/>
          <w:lang w:eastAsia="en-AU"/>
        </w:rPr>
      </w:pPr>
      <w:r>
        <w:rPr>
          <w:rFonts w:ascii="Arial" w:hAnsi="Arial" w:cs="Arial"/>
          <w:noProof/>
          <w:color w:val="FFFFFF" w:themeColor="background1"/>
          <w:sz w:val="22"/>
          <w:u w:val="single"/>
          <w:lang w:eastAsia="en-AU"/>
        </w:rPr>
        <w:br w:type="page"/>
      </w:r>
    </w:p>
    <w:p w:rsidR="00C3755F" w:rsidRDefault="00C3755F" w:rsidP="00C3755F">
      <w:pPr>
        <w:pStyle w:val="Caption"/>
        <w:keepNext/>
      </w:pPr>
      <w:r>
        <w:lastRenderedPageBreak/>
        <w:t xml:space="preserve">Table </w:t>
      </w:r>
      <w:r w:rsidR="00E848F7">
        <w:rPr>
          <w:noProof/>
        </w:rPr>
        <w:fldChar w:fldCharType="begin"/>
      </w:r>
      <w:r w:rsidR="00E848F7">
        <w:rPr>
          <w:noProof/>
        </w:rPr>
        <w:instrText xml:space="preserve"> SEQ Table \* ARABIC </w:instrText>
      </w:r>
      <w:r w:rsidR="00E848F7">
        <w:rPr>
          <w:noProof/>
        </w:rPr>
        <w:fldChar w:fldCharType="separate"/>
      </w:r>
      <w:r w:rsidR="0043463B">
        <w:rPr>
          <w:noProof/>
        </w:rPr>
        <w:t>1</w:t>
      </w:r>
      <w:r w:rsidR="00E848F7">
        <w:rPr>
          <w:noProof/>
        </w:rPr>
        <w:fldChar w:fldCharType="end"/>
      </w:r>
      <w:r>
        <w:t xml:space="preserve"> – </w:t>
      </w:r>
      <w:r>
        <w:rPr>
          <w:caps w:val="0"/>
        </w:rPr>
        <w:t>Sheet information in the Service footprint report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heet information in the service footprint report"/>
        <w:tblDescription w:val="This table highlights the sheets and measures of the service footprint report"/>
      </w:tblPr>
      <w:tblGrid>
        <w:gridCol w:w="2976"/>
        <w:gridCol w:w="6371"/>
        <w:gridCol w:w="1109"/>
      </w:tblGrid>
      <w:tr w:rsidR="002045CC" w:rsidTr="00BD1C92">
        <w:trPr>
          <w:cantSplit/>
          <w:trHeight w:val="383"/>
          <w:tblHeader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04617B"/>
          </w:tcPr>
          <w:p w:rsidR="002045CC" w:rsidRPr="00E3036B" w:rsidRDefault="002045CC" w:rsidP="005E6285">
            <w:pPr>
              <w:spacing w:after="120" w:line="240" w:lineRule="auto"/>
              <w:ind w:right="-23"/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</w:pP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u w:val="single"/>
                <w:lang w:eastAsia="en-AU"/>
              </w:rPr>
              <w:t>Sheets</w:t>
            </w: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  <w:t>: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shd w:val="clear" w:color="auto" w:fill="04617B" w:themeFill="text2"/>
          </w:tcPr>
          <w:p w:rsidR="002045CC" w:rsidRPr="00E3036B" w:rsidRDefault="002045CC" w:rsidP="005E6285">
            <w:pPr>
              <w:spacing w:after="120" w:line="240" w:lineRule="auto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Measures</w:t>
            </w:r>
            <w:r w:rsidR="000D3075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 xml:space="preserve"> / Notes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04617B" w:themeFill="text2"/>
          </w:tcPr>
          <w:p w:rsidR="002045CC" w:rsidRPr="00E3036B" w:rsidRDefault="002045CC" w:rsidP="005E6285">
            <w:pPr>
              <w:spacing w:after="120" w:line="240" w:lineRule="auto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Displays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</w:tr>
      <w:tr w:rsidR="002045CC" w:rsidTr="00BD1C92">
        <w:trPr>
          <w:cantSplit/>
        </w:trPr>
        <w:tc>
          <w:tcPr>
            <w:tcW w:w="2976" w:type="dxa"/>
          </w:tcPr>
          <w:p w:rsidR="002E3525" w:rsidRPr="00516AF2" w:rsidRDefault="00CD345A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SA4</w:t>
            </w:r>
            <w:r w:rsidR="002E3525" w:rsidRPr="00516AF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2045CC" w:rsidRPr="00516AF2" w:rsidRDefault="002E352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(Statistical Area Level 4)</w:t>
            </w:r>
          </w:p>
        </w:tc>
        <w:tc>
          <w:tcPr>
            <w:tcW w:w="6371" w:type="dxa"/>
          </w:tcPr>
          <w:p w:rsidR="002045CC" w:rsidRPr="00574F3B" w:rsidRDefault="002045CC" w:rsidP="005E6285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 w:rsidR="00586B15">
              <w:rPr>
                <w:rFonts w:ascii="Arial" w:hAnsi="Arial" w:cs="Arial"/>
                <w:color w:val="000000" w:themeColor="text1"/>
                <w:szCs w:val="20"/>
              </w:rPr>
              <w:t>client sessions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>essions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586B15">
              <w:rPr>
                <w:rFonts w:ascii="Arial" w:hAnsi="Arial" w:cs="Arial"/>
                <w:color w:val="000000" w:themeColor="text1"/>
                <w:szCs w:val="20"/>
              </w:rPr>
              <w:t>per client</w:t>
            </w:r>
          </w:p>
          <w:p w:rsidR="005E6285" w:rsidRDefault="00586B15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2045CC" w:rsidRPr="00574F3B" w:rsidRDefault="00586B15" w:rsidP="005E628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SA4</w:t>
            </w:r>
          </w:p>
          <w:p w:rsidR="002045CC" w:rsidRPr="00574F3B" w:rsidRDefault="00586B15" w:rsidP="005E6285">
            <w:pPr>
              <w:pStyle w:val="ListParagraph"/>
              <w:numPr>
                <w:ilvl w:val="1"/>
                <w:numId w:val="36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remoteness area</w:t>
            </w:r>
          </w:p>
        </w:tc>
        <w:tc>
          <w:tcPr>
            <w:tcW w:w="1109" w:type="dxa"/>
            <w:vAlign w:val="center"/>
          </w:tcPr>
          <w:p w:rsidR="002045CC" w:rsidRPr="00FD1E97" w:rsidRDefault="00CD345A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>map</w:t>
            </w:r>
          </w:p>
        </w:tc>
      </w:tr>
      <w:tr w:rsidR="00586B15" w:rsidTr="00BD1C92">
        <w:trPr>
          <w:cantSplit/>
        </w:trPr>
        <w:tc>
          <w:tcPr>
            <w:tcW w:w="2976" w:type="dxa"/>
          </w:tcPr>
          <w:p w:rsidR="00586B15" w:rsidRPr="00516AF2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SA3</w:t>
            </w:r>
          </w:p>
          <w:p w:rsidR="002E3525" w:rsidRPr="00516AF2" w:rsidRDefault="002E352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(Statistical Area Level 3)</w:t>
            </w:r>
          </w:p>
        </w:tc>
        <w:tc>
          <w:tcPr>
            <w:tcW w:w="6371" w:type="dxa"/>
          </w:tcPr>
          <w:p w:rsidR="00586B15" w:rsidRPr="00574F3B" w:rsidRDefault="00586B15" w:rsidP="005E6285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 sessions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>essions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per client</w:t>
            </w:r>
          </w:p>
          <w:p w:rsidR="005E6285" w:rsidRDefault="00586B15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5E6285" w:rsidRDefault="00586B15" w:rsidP="005E628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SA3</w:t>
            </w:r>
          </w:p>
          <w:p w:rsidR="00586B15" w:rsidRPr="005E6285" w:rsidRDefault="00586B15" w:rsidP="005E6285">
            <w:pPr>
              <w:pStyle w:val="ListParagraph"/>
              <w:numPr>
                <w:ilvl w:val="1"/>
                <w:numId w:val="36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remoteness area</w:t>
            </w:r>
          </w:p>
        </w:tc>
        <w:tc>
          <w:tcPr>
            <w:tcW w:w="1109" w:type="dxa"/>
            <w:vAlign w:val="center"/>
          </w:tcPr>
          <w:p w:rsidR="00586B15" w:rsidRPr="00FD1E97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>map</w:t>
            </w:r>
          </w:p>
        </w:tc>
      </w:tr>
      <w:tr w:rsidR="00586B15" w:rsidTr="00BD1C92">
        <w:trPr>
          <w:cantSplit/>
        </w:trPr>
        <w:tc>
          <w:tcPr>
            <w:tcW w:w="2976" w:type="dxa"/>
          </w:tcPr>
          <w:p w:rsidR="00586B15" w:rsidRPr="00516AF2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SA2</w:t>
            </w:r>
          </w:p>
          <w:p w:rsidR="002E3525" w:rsidRPr="00516AF2" w:rsidRDefault="002E352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(Statistical Area Level 2)</w:t>
            </w:r>
          </w:p>
        </w:tc>
        <w:tc>
          <w:tcPr>
            <w:tcW w:w="6371" w:type="dxa"/>
          </w:tcPr>
          <w:p w:rsidR="00586B15" w:rsidRPr="00574F3B" w:rsidRDefault="00586B15" w:rsidP="005E6285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 sessions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>essions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per client</w:t>
            </w:r>
          </w:p>
          <w:p w:rsidR="005E6285" w:rsidRDefault="00586B15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5E6285" w:rsidRDefault="00586B15" w:rsidP="005E628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SA2</w:t>
            </w:r>
          </w:p>
          <w:p w:rsidR="00586B15" w:rsidRPr="005E6285" w:rsidRDefault="00586B15" w:rsidP="005E6285">
            <w:pPr>
              <w:pStyle w:val="ListParagraph"/>
              <w:numPr>
                <w:ilvl w:val="1"/>
                <w:numId w:val="36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remoteness area</w:t>
            </w:r>
          </w:p>
        </w:tc>
        <w:tc>
          <w:tcPr>
            <w:tcW w:w="1109" w:type="dxa"/>
            <w:vAlign w:val="center"/>
          </w:tcPr>
          <w:p w:rsidR="00586B15" w:rsidRPr="00FD1E97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>map</w:t>
            </w:r>
          </w:p>
        </w:tc>
      </w:tr>
      <w:tr w:rsidR="00586B15" w:rsidTr="00BD1C92">
        <w:trPr>
          <w:cantSplit/>
        </w:trPr>
        <w:tc>
          <w:tcPr>
            <w:tcW w:w="2976" w:type="dxa"/>
          </w:tcPr>
          <w:p w:rsidR="00586B15" w:rsidRPr="00516AF2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LGA</w:t>
            </w:r>
          </w:p>
          <w:p w:rsidR="002E3525" w:rsidRPr="00516AF2" w:rsidRDefault="002E352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(Local Government Area)</w:t>
            </w:r>
          </w:p>
        </w:tc>
        <w:tc>
          <w:tcPr>
            <w:tcW w:w="6371" w:type="dxa"/>
          </w:tcPr>
          <w:p w:rsidR="00586B15" w:rsidRPr="00574F3B" w:rsidRDefault="00586B15" w:rsidP="005E6285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 sessions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>essions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per client</w:t>
            </w:r>
          </w:p>
          <w:p w:rsidR="005E6285" w:rsidRDefault="00586B15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5E6285" w:rsidRDefault="00586B15" w:rsidP="005E628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LGA</w:t>
            </w:r>
          </w:p>
          <w:p w:rsidR="00586B15" w:rsidRPr="005E6285" w:rsidRDefault="00586B15" w:rsidP="005E6285">
            <w:pPr>
              <w:pStyle w:val="ListParagraph"/>
              <w:numPr>
                <w:ilvl w:val="1"/>
                <w:numId w:val="36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remoteness area</w:t>
            </w:r>
          </w:p>
        </w:tc>
        <w:tc>
          <w:tcPr>
            <w:tcW w:w="1109" w:type="dxa"/>
            <w:vAlign w:val="center"/>
          </w:tcPr>
          <w:p w:rsidR="00586B15" w:rsidRPr="00FD1E97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>map</w:t>
            </w:r>
          </w:p>
        </w:tc>
      </w:tr>
      <w:tr w:rsidR="00586B15" w:rsidTr="00BD1C92">
        <w:trPr>
          <w:cantSplit/>
        </w:trPr>
        <w:tc>
          <w:tcPr>
            <w:tcW w:w="2976" w:type="dxa"/>
          </w:tcPr>
          <w:p w:rsidR="00586B15" w:rsidRPr="00516AF2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Remoteness area</w:t>
            </w:r>
          </w:p>
        </w:tc>
        <w:tc>
          <w:tcPr>
            <w:tcW w:w="6371" w:type="dxa"/>
          </w:tcPr>
          <w:p w:rsidR="00586B15" w:rsidRPr="00574F3B" w:rsidRDefault="00586B15" w:rsidP="005E6285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 xml:space="preserve">clients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who accessed more than one activity</w:t>
            </w:r>
          </w:p>
          <w:p w:rsidR="00586B15" w:rsidRPr="00574F3B" w:rsidRDefault="00586B15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Accommodation type</w:t>
            </w:r>
          </w:p>
          <w:p w:rsidR="00586B15" w:rsidRPr="00574F3B" w:rsidRDefault="00586B15" w:rsidP="005E6285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by remoteness area</w:t>
            </w:r>
          </w:p>
        </w:tc>
        <w:tc>
          <w:tcPr>
            <w:tcW w:w="1109" w:type="dxa"/>
            <w:vAlign w:val="center"/>
          </w:tcPr>
          <w:p w:rsidR="00586B15" w:rsidRPr="00FD1E97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>map</w:t>
            </w:r>
          </w:p>
        </w:tc>
      </w:tr>
      <w:tr w:rsidR="00586B15" w:rsidTr="00BD1C92">
        <w:trPr>
          <w:cantSplit/>
        </w:trPr>
        <w:tc>
          <w:tcPr>
            <w:tcW w:w="2976" w:type="dxa"/>
          </w:tcPr>
          <w:p w:rsidR="00586B15" w:rsidRPr="00516AF2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Outlets</w:t>
            </w:r>
          </w:p>
        </w:tc>
        <w:tc>
          <w:tcPr>
            <w:tcW w:w="6371" w:type="dxa"/>
          </w:tcPr>
          <w:p w:rsidR="00586B15" w:rsidRPr="00574F3B" w:rsidRDefault="00586B15" w:rsidP="005E6285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 sessions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>essions</w:t>
            </w:r>
            <w:r w:rsidR="00BD1C92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per client</w:t>
            </w:r>
          </w:p>
          <w:p w:rsidR="005E6285" w:rsidRDefault="00F06F7E" w:rsidP="005E628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5E6285" w:rsidRDefault="00BD1C92" w:rsidP="005E628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outlet</w:t>
            </w:r>
          </w:p>
          <w:p w:rsidR="00586B15" w:rsidRPr="005E6285" w:rsidRDefault="00586B15" w:rsidP="005E6285">
            <w:pPr>
              <w:pStyle w:val="ListParagraph"/>
              <w:numPr>
                <w:ilvl w:val="1"/>
                <w:numId w:val="36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remoteness area</w:t>
            </w:r>
          </w:p>
        </w:tc>
        <w:tc>
          <w:tcPr>
            <w:tcW w:w="1109" w:type="dxa"/>
            <w:vAlign w:val="center"/>
          </w:tcPr>
          <w:p w:rsidR="00586B15" w:rsidRPr="00FD1E97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>map</w:t>
            </w:r>
          </w:p>
        </w:tc>
      </w:tr>
      <w:tr w:rsidR="00524637" w:rsidTr="00BD1C92">
        <w:trPr>
          <w:cantSplit/>
        </w:trPr>
        <w:tc>
          <w:tcPr>
            <w:tcW w:w="2976" w:type="dxa"/>
          </w:tcPr>
          <w:p w:rsidR="00524637" w:rsidRPr="00516AF2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 xml:space="preserve">Client </w:t>
            </w:r>
            <w:r w:rsidR="002E3525" w:rsidRPr="00516AF2">
              <w:rPr>
                <w:rFonts w:ascii="Arial" w:hAnsi="Arial" w:cs="Arial"/>
                <w:color w:val="000000" w:themeColor="text1"/>
                <w:szCs w:val="20"/>
              </w:rPr>
              <w:t>demographics</w:t>
            </w:r>
          </w:p>
        </w:tc>
        <w:tc>
          <w:tcPr>
            <w:tcW w:w="6371" w:type="dxa"/>
          </w:tcPr>
          <w:p w:rsidR="00586B15" w:rsidRPr="00574F3B" w:rsidRDefault="005E6285" w:rsidP="005E6285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Number of 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 w:rsidR="00586B15" w:rsidRPr="00574F3B">
              <w:rPr>
                <w:rFonts w:ascii="Arial" w:hAnsi="Arial" w:cs="Arial"/>
                <w:color w:val="000000" w:themeColor="text1"/>
                <w:szCs w:val="20"/>
              </w:rPr>
              <w:t>clients</w:t>
            </w:r>
          </w:p>
          <w:p w:rsidR="005E6285" w:rsidRDefault="00586B15" w:rsidP="005E6285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5E6285" w:rsidRDefault="002E3525" w:rsidP="005E6285">
            <w:pPr>
              <w:pStyle w:val="ListParagraph"/>
              <w:numPr>
                <w:ilvl w:val="1"/>
                <w:numId w:val="37"/>
              </w:numPr>
              <w:spacing w:before="0"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age</w:t>
            </w:r>
            <w:r w:rsidR="005E628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5E6285" w:rsidRDefault="002E3525" w:rsidP="005E6285">
            <w:pPr>
              <w:pStyle w:val="ListParagraph"/>
              <w:numPr>
                <w:ilvl w:val="1"/>
                <w:numId w:val="37"/>
              </w:numPr>
              <w:spacing w:before="0"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gender</w:t>
            </w:r>
            <w:r w:rsidR="00241758" w:rsidRPr="005E628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5E6285" w:rsidRDefault="005E6285" w:rsidP="005E6285">
            <w:pPr>
              <w:pStyle w:val="ListParagraph"/>
              <w:numPr>
                <w:ilvl w:val="1"/>
                <w:numId w:val="37"/>
              </w:numPr>
              <w:spacing w:before="0"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 xml:space="preserve">Indigenous </w:t>
            </w:r>
            <w:r w:rsidR="00241758" w:rsidRPr="005E6285">
              <w:rPr>
                <w:rFonts w:ascii="Arial" w:hAnsi="Arial" w:cs="Arial"/>
                <w:color w:val="000000" w:themeColor="text1"/>
                <w:szCs w:val="20"/>
              </w:rPr>
              <w:t>status</w:t>
            </w:r>
          </w:p>
          <w:p w:rsidR="005E6285" w:rsidRDefault="002E3525" w:rsidP="005E6285">
            <w:pPr>
              <w:pStyle w:val="ListParagraph"/>
              <w:numPr>
                <w:ilvl w:val="1"/>
                <w:numId w:val="37"/>
              </w:numPr>
              <w:spacing w:before="0"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 xml:space="preserve">disability </w:t>
            </w:r>
            <w:r w:rsidR="00241758" w:rsidRPr="005E6285">
              <w:rPr>
                <w:rFonts w:ascii="Arial" w:hAnsi="Arial" w:cs="Arial"/>
                <w:color w:val="000000" w:themeColor="text1"/>
                <w:szCs w:val="20"/>
              </w:rPr>
              <w:t>status</w:t>
            </w:r>
          </w:p>
          <w:p w:rsidR="00586B15" w:rsidRPr="005E6285" w:rsidRDefault="002E3525" w:rsidP="005E6285">
            <w:pPr>
              <w:pStyle w:val="ListParagraph"/>
              <w:numPr>
                <w:ilvl w:val="1"/>
                <w:numId w:val="37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 xml:space="preserve">cultural </w:t>
            </w:r>
            <w:r w:rsidR="00241758" w:rsidRPr="005E6285">
              <w:rPr>
                <w:rFonts w:ascii="Arial" w:hAnsi="Arial" w:cs="Arial"/>
                <w:color w:val="000000" w:themeColor="text1"/>
                <w:szCs w:val="20"/>
              </w:rPr>
              <w:t>and linguistic status</w:t>
            </w:r>
          </w:p>
        </w:tc>
        <w:tc>
          <w:tcPr>
            <w:tcW w:w="1109" w:type="dxa"/>
            <w:vAlign w:val="center"/>
          </w:tcPr>
          <w:p w:rsidR="00524637" w:rsidRPr="00FD1E97" w:rsidRDefault="00586B15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Column graphs and </w:t>
            </w:r>
            <w:r w:rsidR="004F15AF">
              <w:rPr>
                <w:rFonts w:ascii="Arial" w:hAnsi="Arial" w:cs="Arial"/>
                <w:color w:val="000000" w:themeColor="text1"/>
                <w:szCs w:val="20"/>
              </w:rPr>
              <w:t xml:space="preserve">bar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graph</w:t>
            </w:r>
          </w:p>
        </w:tc>
      </w:tr>
      <w:tr w:rsidR="00241758" w:rsidTr="00BD1C92">
        <w:trPr>
          <w:cantSplit/>
        </w:trPr>
        <w:tc>
          <w:tcPr>
            <w:tcW w:w="2976" w:type="dxa"/>
          </w:tcPr>
          <w:p w:rsidR="00241758" w:rsidRPr="00516AF2" w:rsidRDefault="00241758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 xml:space="preserve">Client </w:t>
            </w:r>
            <w:r w:rsidR="002E3525" w:rsidRPr="00516AF2">
              <w:rPr>
                <w:rFonts w:ascii="Arial" w:hAnsi="Arial" w:cs="Arial"/>
                <w:color w:val="000000" w:themeColor="text1"/>
                <w:szCs w:val="20"/>
              </w:rPr>
              <w:t xml:space="preserve">demographics </w:t>
            </w:r>
            <w:r w:rsidRPr="00516AF2">
              <w:rPr>
                <w:rFonts w:ascii="Arial" w:hAnsi="Arial" w:cs="Arial"/>
                <w:color w:val="000000" w:themeColor="text1"/>
                <w:szCs w:val="20"/>
              </w:rPr>
              <w:t xml:space="preserve">– CALD </w:t>
            </w:r>
          </w:p>
        </w:tc>
        <w:tc>
          <w:tcPr>
            <w:tcW w:w="6371" w:type="dxa"/>
          </w:tcPr>
          <w:p w:rsidR="005E6285" w:rsidRDefault="00241758" w:rsidP="005E6285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Individual clients by </w:t>
            </w:r>
          </w:p>
          <w:p w:rsidR="005E6285" w:rsidRDefault="002E3525" w:rsidP="005E6285">
            <w:pPr>
              <w:pStyle w:val="ListParagraph"/>
              <w:numPr>
                <w:ilvl w:val="1"/>
                <w:numId w:val="37"/>
              </w:numPr>
              <w:spacing w:before="0"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cultural </w:t>
            </w:r>
            <w:r w:rsidR="00241758">
              <w:rPr>
                <w:rFonts w:ascii="Arial" w:hAnsi="Arial" w:cs="Arial"/>
                <w:color w:val="000000" w:themeColor="text1"/>
                <w:szCs w:val="20"/>
              </w:rPr>
              <w:t>and linguistic status</w:t>
            </w:r>
          </w:p>
          <w:p w:rsidR="005E6285" w:rsidRDefault="00241758" w:rsidP="005E6285">
            <w:pPr>
              <w:pStyle w:val="ListParagraph"/>
              <w:numPr>
                <w:ilvl w:val="1"/>
                <w:numId w:val="37"/>
              </w:numPr>
              <w:spacing w:before="0" w:after="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country of birth</w:t>
            </w:r>
          </w:p>
          <w:p w:rsidR="00241758" w:rsidRPr="005E6285" w:rsidRDefault="00241758" w:rsidP="005E6285">
            <w:pPr>
              <w:pStyle w:val="ListParagraph"/>
              <w:numPr>
                <w:ilvl w:val="1"/>
                <w:numId w:val="37"/>
              </w:numPr>
              <w:spacing w:before="0" w:after="120" w:line="240" w:lineRule="auto"/>
              <w:ind w:left="107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E6285">
              <w:rPr>
                <w:rFonts w:ascii="Arial" w:hAnsi="Arial" w:cs="Arial"/>
                <w:color w:val="000000" w:themeColor="text1"/>
                <w:szCs w:val="20"/>
              </w:rPr>
              <w:t>main language spoken at home</w:t>
            </w:r>
          </w:p>
        </w:tc>
        <w:tc>
          <w:tcPr>
            <w:tcW w:w="1109" w:type="dxa"/>
            <w:vAlign w:val="center"/>
          </w:tcPr>
          <w:p w:rsidR="00241758" w:rsidRPr="00FD1E97" w:rsidRDefault="00241758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graph and table</w:t>
            </w:r>
          </w:p>
        </w:tc>
      </w:tr>
      <w:tr w:rsidR="00574F3B" w:rsidTr="00BD1C92">
        <w:trPr>
          <w:cantSplit/>
        </w:trPr>
        <w:tc>
          <w:tcPr>
            <w:tcW w:w="2976" w:type="dxa"/>
          </w:tcPr>
          <w:p w:rsidR="00574F3B" w:rsidRPr="00516AF2" w:rsidRDefault="00574F3B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516AF2">
              <w:rPr>
                <w:rFonts w:ascii="Arial" w:hAnsi="Arial" w:cs="Arial"/>
                <w:color w:val="000000" w:themeColor="text1"/>
                <w:szCs w:val="20"/>
              </w:rPr>
              <w:t>Information page</w:t>
            </w:r>
          </w:p>
        </w:tc>
        <w:tc>
          <w:tcPr>
            <w:tcW w:w="6371" w:type="dxa"/>
          </w:tcPr>
          <w:p w:rsidR="00574F3B" w:rsidRDefault="00574F3B" w:rsidP="005E6285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Glossary of </w:t>
            </w:r>
            <w:r w:rsidR="00FF5AFB">
              <w:rPr>
                <w:rFonts w:ascii="Arial" w:hAnsi="Arial" w:cs="Arial"/>
                <w:color w:val="000000" w:themeColor="text1"/>
                <w:szCs w:val="20"/>
              </w:rPr>
              <w:t>terms used, grouped by category</w:t>
            </w:r>
          </w:p>
          <w:p w:rsidR="00546503" w:rsidRPr="00574F3B" w:rsidRDefault="00546503" w:rsidP="005E6285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Version history / </w:t>
            </w:r>
            <w:r w:rsidR="00BD1C92">
              <w:rPr>
                <w:rFonts w:ascii="Arial" w:hAnsi="Arial" w:cs="Arial"/>
                <w:color w:val="000000" w:themeColor="text1"/>
                <w:szCs w:val="20"/>
              </w:rPr>
              <w:t>changes</w:t>
            </w:r>
          </w:p>
        </w:tc>
        <w:tc>
          <w:tcPr>
            <w:tcW w:w="1109" w:type="dxa"/>
            <w:vAlign w:val="center"/>
          </w:tcPr>
          <w:p w:rsidR="00574F3B" w:rsidRPr="00FD1E97" w:rsidRDefault="00691C84" w:rsidP="005E6285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</w:tbl>
    <w:p w:rsidR="004419AA" w:rsidRPr="002D6602" w:rsidRDefault="00FF460D" w:rsidP="004419AA">
      <w:pPr>
        <w:spacing w:before="240" w:after="120"/>
        <w:ind w:right="-23"/>
        <w:rPr>
          <w:rFonts w:ascii="Arial" w:hAnsi="Arial" w:cs="Arial"/>
          <w:color w:val="000000" w:themeColor="text1"/>
          <w:szCs w:val="20"/>
        </w:rPr>
      </w:pPr>
      <w:r w:rsidRPr="002D6602">
        <w:rPr>
          <w:rFonts w:ascii="Arial" w:hAnsi="Arial" w:cs="Arial"/>
          <w:color w:val="000000" w:themeColor="text1"/>
          <w:szCs w:val="20"/>
        </w:rPr>
        <w:t xml:space="preserve">For all Data Exchange reports, there is additional user guidance available on the Data Exchange </w:t>
      </w:r>
      <w:hyperlink r:id="rId9" w:history="1">
        <w:r w:rsidRPr="002D6602">
          <w:rPr>
            <w:rStyle w:val="Hyperlink"/>
            <w:rFonts w:ascii="Arial" w:hAnsi="Arial" w:cs="Arial"/>
            <w:szCs w:val="20"/>
          </w:rPr>
          <w:t>website</w:t>
        </w:r>
      </w:hyperlink>
      <w:r w:rsidRPr="002D6602">
        <w:rPr>
          <w:rFonts w:ascii="Arial" w:hAnsi="Arial" w:cs="Arial"/>
          <w:color w:val="000000" w:themeColor="text1"/>
          <w:szCs w:val="20"/>
        </w:rPr>
        <w:t xml:space="preserve"> (https://dex.dss.gov.au/).</w:t>
      </w:r>
      <w:bookmarkStart w:id="0" w:name="_GoBack"/>
      <w:bookmarkEnd w:id="0"/>
    </w:p>
    <w:sectPr w:rsidR="004419AA" w:rsidRPr="002D6602" w:rsidSect="00C3755F"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F7" w:rsidRDefault="00E848F7" w:rsidP="00C46F4D">
      <w:pPr>
        <w:spacing w:after="0" w:line="240" w:lineRule="auto"/>
      </w:pPr>
      <w:r>
        <w:separator/>
      </w:r>
    </w:p>
  </w:endnote>
  <w:endnote w:type="continuationSeparator" w:id="0">
    <w:p w:rsidR="00E848F7" w:rsidRDefault="00E848F7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3"/>
      <w:gridCol w:w="1073"/>
    </w:tblGrid>
    <w:tr w:rsidR="002D6602" w:rsidRPr="002A15E1" w:rsidTr="00460450">
      <w:tc>
        <w:tcPr>
          <w:tcW w:w="4500" w:type="pct"/>
          <w:tcBorders>
            <w:top w:val="single" w:sz="4" w:space="0" w:color="000000" w:themeColor="text1"/>
          </w:tcBorders>
        </w:tcPr>
        <w:p w:rsidR="002D6602" w:rsidRPr="002A15E1" w:rsidRDefault="002D6602" w:rsidP="005A031B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5A031B">
            <w:rPr>
              <w:rFonts w:ascii="Arial" w:hAnsi="Arial" w:cs="Arial"/>
              <w:sz w:val="18"/>
              <w:szCs w:val="18"/>
            </w:rPr>
            <w:t>ata Exchange</w:t>
          </w:r>
          <w:r>
            <w:rPr>
              <w:rFonts w:ascii="Arial" w:hAnsi="Arial" w:cs="Arial"/>
              <w:sz w:val="18"/>
              <w:szCs w:val="18"/>
            </w:rPr>
            <w:t xml:space="preserve"> report fact sheet – </w:t>
          </w:r>
          <w:r w:rsidR="005A031B">
            <w:rPr>
              <w:rFonts w:ascii="Arial" w:hAnsi="Arial" w:cs="Arial"/>
              <w:sz w:val="18"/>
              <w:szCs w:val="18"/>
            </w:rPr>
            <w:t>Service footprint</w:t>
          </w:r>
          <w:r>
            <w:rPr>
              <w:rFonts w:ascii="Arial" w:hAnsi="Arial" w:cs="Arial"/>
              <w:sz w:val="18"/>
              <w:szCs w:val="18"/>
            </w:rPr>
            <w:t xml:space="preserve"> – February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D6602" w:rsidRPr="00684CB8" w:rsidRDefault="002A3105" w:rsidP="002D6602">
          <w:pPr>
            <w:pStyle w:val="Header"/>
            <w:ind w:left="720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684CB8">
            <w:rPr>
              <w:rFonts w:ascii="Arial" w:hAnsi="Arial" w:cs="Arial"/>
              <w:b/>
              <w:sz w:val="22"/>
            </w:rPr>
            <w:fldChar w:fldCharType="begin"/>
          </w:r>
          <w:r w:rsidR="002D6602" w:rsidRPr="00684CB8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684CB8">
            <w:rPr>
              <w:rFonts w:ascii="Arial" w:hAnsi="Arial" w:cs="Arial"/>
              <w:b/>
              <w:sz w:val="22"/>
            </w:rPr>
            <w:fldChar w:fldCharType="separate"/>
          </w:r>
          <w:r w:rsidR="0043463B" w:rsidRPr="0043463B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2</w:t>
          </w:r>
          <w:r w:rsidRPr="00684CB8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:rsidR="00952D29" w:rsidRDefault="00952D29" w:rsidP="002D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2"/>
      <w:gridCol w:w="1074"/>
    </w:tblGrid>
    <w:tr w:rsidR="00952D29" w:rsidRPr="002A15E1" w:rsidTr="00952D29">
      <w:tc>
        <w:tcPr>
          <w:tcW w:w="4487" w:type="pct"/>
          <w:tcBorders>
            <w:top w:val="single" w:sz="4" w:space="0" w:color="000000" w:themeColor="text1"/>
          </w:tcBorders>
        </w:tcPr>
        <w:p w:rsidR="00952D29" w:rsidRPr="002A15E1" w:rsidRDefault="00952D29" w:rsidP="005A031B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5A031B">
            <w:rPr>
              <w:rFonts w:ascii="Arial" w:hAnsi="Arial" w:cs="Arial"/>
              <w:sz w:val="18"/>
              <w:szCs w:val="18"/>
            </w:rPr>
            <w:t>ata Exchange</w:t>
          </w:r>
          <w:r>
            <w:rPr>
              <w:rFonts w:ascii="Arial" w:hAnsi="Arial" w:cs="Arial"/>
              <w:sz w:val="18"/>
              <w:szCs w:val="18"/>
            </w:rPr>
            <w:t xml:space="preserve"> report fact sheet – Service footprint – February 2019</w:t>
          </w:r>
        </w:p>
      </w:tc>
      <w:tc>
        <w:tcPr>
          <w:tcW w:w="513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952D29" w:rsidRPr="00684CB8" w:rsidRDefault="002A3105" w:rsidP="00952D29">
          <w:pPr>
            <w:pStyle w:val="Header"/>
            <w:ind w:left="720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684CB8">
            <w:rPr>
              <w:rFonts w:ascii="Arial" w:hAnsi="Arial" w:cs="Arial"/>
              <w:b/>
              <w:sz w:val="22"/>
            </w:rPr>
            <w:fldChar w:fldCharType="begin"/>
          </w:r>
          <w:r w:rsidR="00952D29" w:rsidRPr="00684CB8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684CB8">
            <w:rPr>
              <w:rFonts w:ascii="Arial" w:hAnsi="Arial" w:cs="Arial"/>
              <w:b/>
              <w:sz w:val="22"/>
            </w:rPr>
            <w:fldChar w:fldCharType="separate"/>
          </w:r>
          <w:r w:rsidR="0043463B" w:rsidRPr="0043463B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684CB8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:rsidR="00952D29" w:rsidRDefault="00952D29" w:rsidP="0095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F7" w:rsidRDefault="00E848F7" w:rsidP="00C46F4D">
      <w:pPr>
        <w:spacing w:after="0" w:line="240" w:lineRule="auto"/>
      </w:pPr>
      <w:r>
        <w:separator/>
      </w:r>
    </w:p>
  </w:footnote>
  <w:footnote w:type="continuationSeparator" w:id="0">
    <w:p w:rsidR="00E848F7" w:rsidRDefault="00E848F7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7E" w:rsidRDefault="0043463B">
    <w:pPr>
      <w:pStyle w:val="Header"/>
    </w:pPr>
    <w:r w:rsidRPr="0043463B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-302260</wp:posOffset>
          </wp:positionV>
          <wp:extent cx="7436485" cy="1145540"/>
          <wp:effectExtent l="0" t="0" r="0" b="0"/>
          <wp:wrapSquare wrapText="bothSides"/>
          <wp:docPr id="2" name="Picture 2" descr="This is an image of the Data Exchange banner with Australian coat of arms" title="Data Exchange bann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0034\AppData\Local\Microsoft\Windows\INetCache\Content.Outlook\MZHE5F08\DEX Head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938"/>
    <w:multiLevelType w:val="hybridMultilevel"/>
    <w:tmpl w:val="BA90AE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3F38"/>
    <w:multiLevelType w:val="hybridMultilevel"/>
    <w:tmpl w:val="CFAA5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A1EB8"/>
    <w:multiLevelType w:val="hybridMultilevel"/>
    <w:tmpl w:val="6E54E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D4BA5"/>
    <w:multiLevelType w:val="hybridMultilevel"/>
    <w:tmpl w:val="A14C489E"/>
    <w:lvl w:ilvl="0" w:tplc="30B29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6CD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646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ACA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2FC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AEB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EA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36E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083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9960336"/>
    <w:multiLevelType w:val="hybridMultilevel"/>
    <w:tmpl w:val="D8CC93AC"/>
    <w:lvl w:ilvl="0" w:tplc="CFD25B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E25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38F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86B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3C8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944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2EAA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3ADE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8A5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B1B4C4A"/>
    <w:multiLevelType w:val="hybridMultilevel"/>
    <w:tmpl w:val="F5A68A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4B60"/>
    <w:multiLevelType w:val="hybridMultilevel"/>
    <w:tmpl w:val="7B2CBA3E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747AF"/>
    <w:multiLevelType w:val="hybridMultilevel"/>
    <w:tmpl w:val="74E62BD2"/>
    <w:lvl w:ilvl="0" w:tplc="64626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6C3EA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2C4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E28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6EE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046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C818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063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1C4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21F6195"/>
    <w:multiLevelType w:val="hybridMultilevel"/>
    <w:tmpl w:val="D19AAA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05A3F"/>
    <w:multiLevelType w:val="hybridMultilevel"/>
    <w:tmpl w:val="BE08E266"/>
    <w:lvl w:ilvl="0" w:tplc="2260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684DCE"/>
    <w:multiLevelType w:val="hybridMultilevel"/>
    <w:tmpl w:val="1D28068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22B2"/>
    <w:multiLevelType w:val="hybridMultilevel"/>
    <w:tmpl w:val="95822530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82E90"/>
    <w:multiLevelType w:val="hybridMultilevel"/>
    <w:tmpl w:val="11EA8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B1966"/>
    <w:multiLevelType w:val="hybridMultilevel"/>
    <w:tmpl w:val="1AACBA3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0C47"/>
    <w:multiLevelType w:val="hybridMultilevel"/>
    <w:tmpl w:val="7BAE3F40"/>
    <w:lvl w:ilvl="0" w:tplc="F93AB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00461C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E00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CE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900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ACF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8AC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0C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3C9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0BE3056"/>
    <w:multiLevelType w:val="hybridMultilevel"/>
    <w:tmpl w:val="3E2EE6F6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09ED"/>
    <w:multiLevelType w:val="hybridMultilevel"/>
    <w:tmpl w:val="10781B3E"/>
    <w:lvl w:ilvl="0" w:tplc="5C8A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C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B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A459C1"/>
    <w:multiLevelType w:val="hybridMultilevel"/>
    <w:tmpl w:val="11BCB304"/>
    <w:lvl w:ilvl="0" w:tplc="11B8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7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E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47298E"/>
    <w:multiLevelType w:val="hybridMultilevel"/>
    <w:tmpl w:val="AC18C01A"/>
    <w:lvl w:ilvl="0" w:tplc="472A6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21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25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E07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702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00E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B4C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6A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A0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A16116E"/>
    <w:multiLevelType w:val="hybridMultilevel"/>
    <w:tmpl w:val="C0DEA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6758C"/>
    <w:multiLevelType w:val="hybridMultilevel"/>
    <w:tmpl w:val="8C643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11469"/>
    <w:multiLevelType w:val="hybridMultilevel"/>
    <w:tmpl w:val="60145668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756A"/>
    <w:multiLevelType w:val="hybridMultilevel"/>
    <w:tmpl w:val="83B07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F5A9C"/>
    <w:multiLevelType w:val="hybridMultilevel"/>
    <w:tmpl w:val="BAA4A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14B59"/>
    <w:multiLevelType w:val="hybridMultilevel"/>
    <w:tmpl w:val="9A2AC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46A01"/>
    <w:multiLevelType w:val="hybridMultilevel"/>
    <w:tmpl w:val="0DE425A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7392"/>
    <w:multiLevelType w:val="hybridMultilevel"/>
    <w:tmpl w:val="02166FC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C604C"/>
    <w:multiLevelType w:val="hybridMultilevel"/>
    <w:tmpl w:val="0CBE3D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31124"/>
    <w:multiLevelType w:val="hybridMultilevel"/>
    <w:tmpl w:val="9C144AF2"/>
    <w:lvl w:ilvl="0" w:tplc="B092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705353"/>
    <w:multiLevelType w:val="hybridMultilevel"/>
    <w:tmpl w:val="BECE9402"/>
    <w:lvl w:ilvl="0" w:tplc="36387800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5374C"/>
    <w:multiLevelType w:val="hybridMultilevel"/>
    <w:tmpl w:val="BD46CE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14"/>
    <w:multiLevelType w:val="hybridMultilevel"/>
    <w:tmpl w:val="5AB09FDE"/>
    <w:lvl w:ilvl="0" w:tplc="7FDE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497F71"/>
    <w:multiLevelType w:val="hybridMultilevel"/>
    <w:tmpl w:val="BFB2B29E"/>
    <w:lvl w:ilvl="0" w:tplc="EE1A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8C6B25"/>
    <w:multiLevelType w:val="hybridMultilevel"/>
    <w:tmpl w:val="966C1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7198F"/>
    <w:multiLevelType w:val="hybridMultilevel"/>
    <w:tmpl w:val="B5147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1C5B"/>
    <w:multiLevelType w:val="hybridMultilevel"/>
    <w:tmpl w:val="E6B2F29E"/>
    <w:lvl w:ilvl="0" w:tplc="50E6E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7C1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A26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C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D4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4448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C1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46D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56E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6986AB6"/>
    <w:multiLevelType w:val="hybridMultilevel"/>
    <w:tmpl w:val="6D5CF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111A6"/>
    <w:multiLevelType w:val="hybridMultilevel"/>
    <w:tmpl w:val="A566E84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328"/>
    <w:multiLevelType w:val="hybridMultilevel"/>
    <w:tmpl w:val="AA0291B6"/>
    <w:lvl w:ilvl="0" w:tplc="8B1E6E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2A4FC0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9EA2C8">
      <w:start w:val="15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A3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4C2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C4F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F0D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B81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2C5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0"/>
  </w:num>
  <w:num w:numId="5">
    <w:abstractNumId w:val="20"/>
  </w:num>
  <w:num w:numId="6">
    <w:abstractNumId w:val="37"/>
  </w:num>
  <w:num w:numId="7">
    <w:abstractNumId w:val="27"/>
  </w:num>
  <w:num w:numId="8">
    <w:abstractNumId w:val="15"/>
  </w:num>
  <w:num w:numId="9">
    <w:abstractNumId w:val="34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17"/>
  </w:num>
  <w:num w:numId="15">
    <w:abstractNumId w:val="32"/>
  </w:num>
  <w:num w:numId="16">
    <w:abstractNumId w:val="31"/>
  </w:num>
  <w:num w:numId="17">
    <w:abstractNumId w:val="1"/>
  </w:num>
  <w:num w:numId="18">
    <w:abstractNumId w:val="39"/>
  </w:num>
  <w:num w:numId="19">
    <w:abstractNumId w:val="3"/>
  </w:num>
  <w:num w:numId="20">
    <w:abstractNumId w:val="18"/>
  </w:num>
  <w:num w:numId="21">
    <w:abstractNumId w:val="23"/>
  </w:num>
  <w:num w:numId="22">
    <w:abstractNumId w:val="35"/>
  </w:num>
  <w:num w:numId="23">
    <w:abstractNumId w:val="7"/>
  </w:num>
  <w:num w:numId="24">
    <w:abstractNumId w:val="4"/>
  </w:num>
  <w:num w:numId="25">
    <w:abstractNumId w:val="11"/>
  </w:num>
  <w:num w:numId="26">
    <w:abstractNumId w:val="21"/>
  </w:num>
  <w:num w:numId="27">
    <w:abstractNumId w:val="10"/>
  </w:num>
  <w:num w:numId="28">
    <w:abstractNumId w:val="25"/>
  </w:num>
  <w:num w:numId="29">
    <w:abstractNumId w:val="13"/>
  </w:num>
  <w:num w:numId="30">
    <w:abstractNumId w:val="26"/>
  </w:num>
  <w:num w:numId="31">
    <w:abstractNumId w:val="38"/>
  </w:num>
  <w:num w:numId="32">
    <w:abstractNumId w:val="5"/>
  </w:num>
  <w:num w:numId="33">
    <w:abstractNumId w:val="30"/>
  </w:num>
  <w:num w:numId="34">
    <w:abstractNumId w:val="36"/>
  </w:num>
  <w:num w:numId="35">
    <w:abstractNumId w:val="12"/>
  </w:num>
  <w:num w:numId="36">
    <w:abstractNumId w:val="22"/>
  </w:num>
  <w:num w:numId="37">
    <w:abstractNumId w:val="24"/>
  </w:num>
  <w:num w:numId="38">
    <w:abstractNumId w:val="19"/>
  </w:num>
  <w:num w:numId="39">
    <w:abstractNumId w:val="33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6003"/>
    <w:rsid w:val="00027C67"/>
    <w:rsid w:val="000354D0"/>
    <w:rsid w:val="00035FB8"/>
    <w:rsid w:val="0005428C"/>
    <w:rsid w:val="00054FBC"/>
    <w:rsid w:val="000550DD"/>
    <w:rsid w:val="000560F7"/>
    <w:rsid w:val="000D3075"/>
    <w:rsid w:val="000D66FA"/>
    <w:rsid w:val="000E79E2"/>
    <w:rsid w:val="000F2614"/>
    <w:rsid w:val="001107B4"/>
    <w:rsid w:val="0011209D"/>
    <w:rsid w:val="00131E70"/>
    <w:rsid w:val="00133DD0"/>
    <w:rsid w:val="0013538D"/>
    <w:rsid w:val="00136B1A"/>
    <w:rsid w:val="0013709C"/>
    <w:rsid w:val="00143241"/>
    <w:rsid w:val="0014454D"/>
    <w:rsid w:val="0017598A"/>
    <w:rsid w:val="00177115"/>
    <w:rsid w:val="00180EA4"/>
    <w:rsid w:val="001838D0"/>
    <w:rsid w:val="001938F4"/>
    <w:rsid w:val="00193C05"/>
    <w:rsid w:val="001A05FE"/>
    <w:rsid w:val="001A09FC"/>
    <w:rsid w:val="001A44DF"/>
    <w:rsid w:val="001C567E"/>
    <w:rsid w:val="001C70F5"/>
    <w:rsid w:val="001C7361"/>
    <w:rsid w:val="001D3127"/>
    <w:rsid w:val="001D4D62"/>
    <w:rsid w:val="001D647E"/>
    <w:rsid w:val="001E630D"/>
    <w:rsid w:val="001F0EC4"/>
    <w:rsid w:val="001F4B90"/>
    <w:rsid w:val="001F63FD"/>
    <w:rsid w:val="002020A5"/>
    <w:rsid w:val="002045CC"/>
    <w:rsid w:val="00220DD8"/>
    <w:rsid w:val="00226752"/>
    <w:rsid w:val="00235C7B"/>
    <w:rsid w:val="0024048C"/>
    <w:rsid w:val="00241758"/>
    <w:rsid w:val="00260B1A"/>
    <w:rsid w:val="00261681"/>
    <w:rsid w:val="0026232A"/>
    <w:rsid w:val="0027609F"/>
    <w:rsid w:val="002819DE"/>
    <w:rsid w:val="002870D6"/>
    <w:rsid w:val="0029342F"/>
    <w:rsid w:val="002A15E1"/>
    <w:rsid w:val="002A3105"/>
    <w:rsid w:val="002A4A0F"/>
    <w:rsid w:val="002C4812"/>
    <w:rsid w:val="002C57E9"/>
    <w:rsid w:val="002D20C8"/>
    <w:rsid w:val="002D4158"/>
    <w:rsid w:val="002D6602"/>
    <w:rsid w:val="002E3525"/>
    <w:rsid w:val="00304DFA"/>
    <w:rsid w:val="003103D4"/>
    <w:rsid w:val="0035127A"/>
    <w:rsid w:val="0036460D"/>
    <w:rsid w:val="00374DB4"/>
    <w:rsid w:val="00375845"/>
    <w:rsid w:val="0039303E"/>
    <w:rsid w:val="003A55A0"/>
    <w:rsid w:val="003A7FEA"/>
    <w:rsid w:val="003B2BB8"/>
    <w:rsid w:val="003C02BE"/>
    <w:rsid w:val="003D34FF"/>
    <w:rsid w:val="003D6860"/>
    <w:rsid w:val="003F12CD"/>
    <w:rsid w:val="003F2770"/>
    <w:rsid w:val="0041630C"/>
    <w:rsid w:val="0043463B"/>
    <w:rsid w:val="004419AA"/>
    <w:rsid w:val="004421D9"/>
    <w:rsid w:val="00446E02"/>
    <w:rsid w:val="00456644"/>
    <w:rsid w:val="004641D6"/>
    <w:rsid w:val="00464B10"/>
    <w:rsid w:val="004746E8"/>
    <w:rsid w:val="0048298D"/>
    <w:rsid w:val="00485CEB"/>
    <w:rsid w:val="004A6C4E"/>
    <w:rsid w:val="004B54CA"/>
    <w:rsid w:val="004B5A18"/>
    <w:rsid w:val="004B66DB"/>
    <w:rsid w:val="004C6CEB"/>
    <w:rsid w:val="004D06CD"/>
    <w:rsid w:val="004E07CF"/>
    <w:rsid w:val="004E5CBF"/>
    <w:rsid w:val="004F0D9F"/>
    <w:rsid w:val="004F15AF"/>
    <w:rsid w:val="004F17C6"/>
    <w:rsid w:val="004F3C81"/>
    <w:rsid w:val="004F7808"/>
    <w:rsid w:val="00500BB7"/>
    <w:rsid w:val="00510A31"/>
    <w:rsid w:val="00513840"/>
    <w:rsid w:val="00516AF2"/>
    <w:rsid w:val="00520521"/>
    <w:rsid w:val="00524637"/>
    <w:rsid w:val="005274AB"/>
    <w:rsid w:val="00527C2E"/>
    <w:rsid w:val="00532B36"/>
    <w:rsid w:val="00541C7B"/>
    <w:rsid w:val="00546503"/>
    <w:rsid w:val="00554EAA"/>
    <w:rsid w:val="00571B70"/>
    <w:rsid w:val="005725F4"/>
    <w:rsid w:val="00574F3B"/>
    <w:rsid w:val="00584B50"/>
    <w:rsid w:val="00586B15"/>
    <w:rsid w:val="00597E12"/>
    <w:rsid w:val="005A031B"/>
    <w:rsid w:val="005A101F"/>
    <w:rsid w:val="005A6756"/>
    <w:rsid w:val="005B17C9"/>
    <w:rsid w:val="005C2FEF"/>
    <w:rsid w:val="005C3AA9"/>
    <w:rsid w:val="005D6CED"/>
    <w:rsid w:val="005E6285"/>
    <w:rsid w:val="005F2FF9"/>
    <w:rsid w:val="00604B59"/>
    <w:rsid w:val="00615824"/>
    <w:rsid w:val="0061698D"/>
    <w:rsid w:val="00623DAD"/>
    <w:rsid w:val="0062447F"/>
    <w:rsid w:val="006331A8"/>
    <w:rsid w:val="00633593"/>
    <w:rsid w:val="006415AC"/>
    <w:rsid w:val="006507D8"/>
    <w:rsid w:val="006642D6"/>
    <w:rsid w:val="00674A3A"/>
    <w:rsid w:val="0067558F"/>
    <w:rsid w:val="00677C11"/>
    <w:rsid w:val="00684CB8"/>
    <w:rsid w:val="00685186"/>
    <w:rsid w:val="00691C84"/>
    <w:rsid w:val="00696362"/>
    <w:rsid w:val="006A4100"/>
    <w:rsid w:val="006A4CE7"/>
    <w:rsid w:val="006B1507"/>
    <w:rsid w:val="006B6F31"/>
    <w:rsid w:val="006C4A04"/>
    <w:rsid w:val="006C5954"/>
    <w:rsid w:val="006D0502"/>
    <w:rsid w:val="006D0B3F"/>
    <w:rsid w:val="006D7932"/>
    <w:rsid w:val="006D79F4"/>
    <w:rsid w:val="006E0B3E"/>
    <w:rsid w:val="00707243"/>
    <w:rsid w:val="00717DB4"/>
    <w:rsid w:val="0075259D"/>
    <w:rsid w:val="00754998"/>
    <w:rsid w:val="007568E4"/>
    <w:rsid w:val="007629E3"/>
    <w:rsid w:val="0077295F"/>
    <w:rsid w:val="00776A1B"/>
    <w:rsid w:val="00784343"/>
    <w:rsid w:val="00785261"/>
    <w:rsid w:val="00797075"/>
    <w:rsid w:val="007A0377"/>
    <w:rsid w:val="007B0256"/>
    <w:rsid w:val="007C16B0"/>
    <w:rsid w:val="007D43A0"/>
    <w:rsid w:val="007F4090"/>
    <w:rsid w:val="007F6D23"/>
    <w:rsid w:val="0080716C"/>
    <w:rsid w:val="00816C8E"/>
    <w:rsid w:val="00822697"/>
    <w:rsid w:val="00846FF2"/>
    <w:rsid w:val="008522FF"/>
    <w:rsid w:val="00862594"/>
    <w:rsid w:val="00865F6F"/>
    <w:rsid w:val="008678E1"/>
    <w:rsid w:val="00874437"/>
    <w:rsid w:val="008748B2"/>
    <w:rsid w:val="0087676D"/>
    <w:rsid w:val="00877DDB"/>
    <w:rsid w:val="00884AEE"/>
    <w:rsid w:val="0088578A"/>
    <w:rsid w:val="008867DC"/>
    <w:rsid w:val="008901D4"/>
    <w:rsid w:val="00896CAC"/>
    <w:rsid w:val="00897A76"/>
    <w:rsid w:val="008A0CC9"/>
    <w:rsid w:val="008B252E"/>
    <w:rsid w:val="008B68CD"/>
    <w:rsid w:val="008C16E1"/>
    <w:rsid w:val="008C3534"/>
    <w:rsid w:val="008D3EE6"/>
    <w:rsid w:val="008D4E2D"/>
    <w:rsid w:val="008D4F96"/>
    <w:rsid w:val="008F7BD2"/>
    <w:rsid w:val="00900AB4"/>
    <w:rsid w:val="00914187"/>
    <w:rsid w:val="009225F0"/>
    <w:rsid w:val="009321F9"/>
    <w:rsid w:val="009405D2"/>
    <w:rsid w:val="00946A92"/>
    <w:rsid w:val="00952D29"/>
    <w:rsid w:val="00955323"/>
    <w:rsid w:val="00956DD2"/>
    <w:rsid w:val="0095744E"/>
    <w:rsid w:val="00972394"/>
    <w:rsid w:val="00982644"/>
    <w:rsid w:val="009A0139"/>
    <w:rsid w:val="009A44D1"/>
    <w:rsid w:val="009A6CF5"/>
    <w:rsid w:val="009B2D23"/>
    <w:rsid w:val="009B5017"/>
    <w:rsid w:val="009D5388"/>
    <w:rsid w:val="009E699B"/>
    <w:rsid w:val="00A044C1"/>
    <w:rsid w:val="00A07F7B"/>
    <w:rsid w:val="00A1184E"/>
    <w:rsid w:val="00A315DE"/>
    <w:rsid w:val="00A46A6B"/>
    <w:rsid w:val="00A46ECB"/>
    <w:rsid w:val="00A53400"/>
    <w:rsid w:val="00A57D17"/>
    <w:rsid w:val="00A62FAE"/>
    <w:rsid w:val="00A648F2"/>
    <w:rsid w:val="00A67ED1"/>
    <w:rsid w:val="00A94C9B"/>
    <w:rsid w:val="00A957BB"/>
    <w:rsid w:val="00A960AE"/>
    <w:rsid w:val="00AB2248"/>
    <w:rsid w:val="00AB5F8D"/>
    <w:rsid w:val="00AC07A4"/>
    <w:rsid w:val="00AC41BA"/>
    <w:rsid w:val="00AC680D"/>
    <w:rsid w:val="00AD22FA"/>
    <w:rsid w:val="00AE03DC"/>
    <w:rsid w:val="00AF3A3B"/>
    <w:rsid w:val="00AF62DF"/>
    <w:rsid w:val="00B065FD"/>
    <w:rsid w:val="00B10994"/>
    <w:rsid w:val="00B14564"/>
    <w:rsid w:val="00B26ECC"/>
    <w:rsid w:val="00B317F6"/>
    <w:rsid w:val="00B335B6"/>
    <w:rsid w:val="00B35196"/>
    <w:rsid w:val="00B4253C"/>
    <w:rsid w:val="00B60E0D"/>
    <w:rsid w:val="00B62A12"/>
    <w:rsid w:val="00B63151"/>
    <w:rsid w:val="00B73262"/>
    <w:rsid w:val="00BA11C5"/>
    <w:rsid w:val="00BA2DB9"/>
    <w:rsid w:val="00BB3DA9"/>
    <w:rsid w:val="00BB7F2D"/>
    <w:rsid w:val="00BC2BFA"/>
    <w:rsid w:val="00BC2F0D"/>
    <w:rsid w:val="00BD1C92"/>
    <w:rsid w:val="00BD1FA3"/>
    <w:rsid w:val="00BD2D98"/>
    <w:rsid w:val="00BD7A38"/>
    <w:rsid w:val="00BE0DB3"/>
    <w:rsid w:val="00BE7148"/>
    <w:rsid w:val="00BE7613"/>
    <w:rsid w:val="00C06786"/>
    <w:rsid w:val="00C14021"/>
    <w:rsid w:val="00C20A81"/>
    <w:rsid w:val="00C3755F"/>
    <w:rsid w:val="00C40046"/>
    <w:rsid w:val="00C4219C"/>
    <w:rsid w:val="00C46F4D"/>
    <w:rsid w:val="00C5462B"/>
    <w:rsid w:val="00C55A16"/>
    <w:rsid w:val="00C562F7"/>
    <w:rsid w:val="00C6501C"/>
    <w:rsid w:val="00C74481"/>
    <w:rsid w:val="00C94BC3"/>
    <w:rsid w:val="00C97790"/>
    <w:rsid w:val="00CA4F9B"/>
    <w:rsid w:val="00CC6AB7"/>
    <w:rsid w:val="00CC790C"/>
    <w:rsid w:val="00CC7E10"/>
    <w:rsid w:val="00CD345A"/>
    <w:rsid w:val="00CD49E3"/>
    <w:rsid w:val="00CE03DA"/>
    <w:rsid w:val="00CE0556"/>
    <w:rsid w:val="00CE388F"/>
    <w:rsid w:val="00CE447E"/>
    <w:rsid w:val="00CE5FB1"/>
    <w:rsid w:val="00CF4432"/>
    <w:rsid w:val="00CF7CCC"/>
    <w:rsid w:val="00D04285"/>
    <w:rsid w:val="00D11ABE"/>
    <w:rsid w:val="00D27466"/>
    <w:rsid w:val="00D4283B"/>
    <w:rsid w:val="00D53A48"/>
    <w:rsid w:val="00D57AD5"/>
    <w:rsid w:val="00D65598"/>
    <w:rsid w:val="00D80BA1"/>
    <w:rsid w:val="00D840CB"/>
    <w:rsid w:val="00D87703"/>
    <w:rsid w:val="00D930EB"/>
    <w:rsid w:val="00DA6F4F"/>
    <w:rsid w:val="00DB2DCA"/>
    <w:rsid w:val="00DB7113"/>
    <w:rsid w:val="00DB7423"/>
    <w:rsid w:val="00DC70B5"/>
    <w:rsid w:val="00DE1427"/>
    <w:rsid w:val="00DF0638"/>
    <w:rsid w:val="00E0783B"/>
    <w:rsid w:val="00E103E2"/>
    <w:rsid w:val="00E10961"/>
    <w:rsid w:val="00E222C4"/>
    <w:rsid w:val="00E3036B"/>
    <w:rsid w:val="00E40C02"/>
    <w:rsid w:val="00E478EC"/>
    <w:rsid w:val="00E552FC"/>
    <w:rsid w:val="00E5724B"/>
    <w:rsid w:val="00E71328"/>
    <w:rsid w:val="00E73A6C"/>
    <w:rsid w:val="00E848F7"/>
    <w:rsid w:val="00E9254E"/>
    <w:rsid w:val="00E95C02"/>
    <w:rsid w:val="00E973A4"/>
    <w:rsid w:val="00E97954"/>
    <w:rsid w:val="00EA51A0"/>
    <w:rsid w:val="00EB5470"/>
    <w:rsid w:val="00ED17CB"/>
    <w:rsid w:val="00ED7612"/>
    <w:rsid w:val="00EE19A9"/>
    <w:rsid w:val="00EE7D00"/>
    <w:rsid w:val="00EF60A7"/>
    <w:rsid w:val="00F06604"/>
    <w:rsid w:val="00F06F7E"/>
    <w:rsid w:val="00F261A1"/>
    <w:rsid w:val="00F40EB8"/>
    <w:rsid w:val="00F44DBF"/>
    <w:rsid w:val="00F46278"/>
    <w:rsid w:val="00F607F0"/>
    <w:rsid w:val="00F75EF2"/>
    <w:rsid w:val="00F87D76"/>
    <w:rsid w:val="00F93A15"/>
    <w:rsid w:val="00F94148"/>
    <w:rsid w:val="00F952DA"/>
    <w:rsid w:val="00F97887"/>
    <w:rsid w:val="00FD1E97"/>
    <w:rsid w:val="00FE56AD"/>
    <w:rsid w:val="00FF3B65"/>
    <w:rsid w:val="00FF460D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B20861-FFA5-4ACB-A1D1-D53D84C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B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  <w:style w:type="paragraph" w:customStyle="1" w:styleId="BulletedPoints">
    <w:name w:val="Bulleted Points"/>
    <w:basedOn w:val="Normal"/>
    <w:rsid w:val="001D647E"/>
    <w:pPr>
      <w:numPr>
        <w:numId w:val="2"/>
      </w:numPr>
      <w:suppressAutoHyphens w:val="0"/>
      <w:spacing w:after="120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7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3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4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9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7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2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6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6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6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3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9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4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8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2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6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4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0A8D-B988-49D4-A12E-891F2036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lastModifiedBy>PEARSON, Rose</cp:lastModifiedBy>
  <cp:revision>4</cp:revision>
  <cp:lastPrinted>2019-02-14T00:10:00Z</cp:lastPrinted>
  <dcterms:created xsi:type="dcterms:W3CDTF">2019-02-11T05:35:00Z</dcterms:created>
  <dcterms:modified xsi:type="dcterms:W3CDTF">2019-02-14T00:11:00Z</dcterms:modified>
</cp:coreProperties>
</file>