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22" w:rsidRDefault="00685722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  <w:bookmarkStart w:id="0" w:name="_GoBack"/>
      <w:bookmarkEnd w:id="0"/>
    </w:p>
    <w:p w:rsidR="00A62FAE" w:rsidRPr="00862594" w:rsidRDefault="00475C7E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Add </w:t>
      </w:r>
      <w:r w:rsidR="00E3628A">
        <w:rPr>
          <w:rStyle w:val="TitleChar"/>
          <w:rFonts w:ascii="Georgia" w:hAnsi="Georgia" w:cs="Arial"/>
          <w:b w:val="0"/>
          <w:color w:val="04617B" w:themeColor="text2"/>
        </w:rPr>
        <w:t>shapes</w:t>
      </w:r>
    </w:p>
    <w:p w:rsidR="00185669" w:rsidRPr="00C95DDC" w:rsidRDefault="00D775FC" w:rsidP="00C95DDC">
      <w:pPr>
        <w:rPr>
          <w:rFonts w:ascii="Arial" w:hAnsi="Arial" w:cs="Arial"/>
          <w:sz w:val="22"/>
          <w:lang w:eastAsia="en-AU"/>
        </w:rPr>
      </w:pPr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2EDAD865" wp14:editId="1CAC634D">
                <wp:extent cx="6734175" cy="521970"/>
                <wp:effectExtent l="0" t="0" r="9525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2197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FF" w:rsidRPr="0056163E" w:rsidRDefault="00AD74FF" w:rsidP="00D775FC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FB3F1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at </w:t>
                            </w:r>
                            <w:hyperlink r:id="rId9" w:history="1">
                              <w:r w:rsidRPr="00FB075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Qlik Sense tutorials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A5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DD71D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on Y</w:t>
                            </w:r>
                            <w:r w:rsidR="00475C7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ouT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AD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0.2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" fillcolor="#4eabb5" stroked="f">
                <v:textbox>
                  <w:txbxContent>
                    <w:p w:rsidR="00AD74FF" w:rsidRPr="0056163E" w:rsidRDefault="00AD74FF" w:rsidP="00D775FC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FB3F1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and at </w:t>
                      </w:r>
                      <w:hyperlink r:id="rId11" w:history="1">
                        <w:r w:rsidRPr="00FB075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Qlik Sense tutorials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07A5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DD71D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on Y</w:t>
                      </w:r>
                      <w:r w:rsidR="00475C7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ouT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ube.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E82" w:rsidRDefault="00C57E82" w:rsidP="00C57E82">
      <w:pPr>
        <w:pStyle w:val="Heading3Numbered"/>
        <w:numPr>
          <w:ilvl w:val="0"/>
          <w:numId w:val="0"/>
        </w:numPr>
        <w:rPr>
          <w:rFonts w:ascii="Arial" w:hAnsi="Arial" w:cs="Arial"/>
          <w:sz w:val="26"/>
          <w:szCs w:val="26"/>
          <w:highlight w:val="lightGray"/>
          <w:lang w:eastAsia="en-AU"/>
        </w:rPr>
      </w:pPr>
      <w:bookmarkStart w:id="1" w:name="_Toc465090422"/>
      <w:bookmarkStart w:id="2" w:name="_Toc466538550"/>
    </w:p>
    <w:p w:rsidR="00E3628A" w:rsidRPr="000D619F" w:rsidRDefault="00E3628A" w:rsidP="00E3628A">
      <w:pPr>
        <w:pStyle w:val="Heading3Numbered"/>
        <w:numPr>
          <w:ilvl w:val="0"/>
          <w:numId w:val="0"/>
        </w:numPr>
        <w:ind w:left="851" w:hanging="851"/>
        <w:rPr>
          <w:rFonts w:ascii="Arial" w:hAnsi="Arial" w:cs="Arial"/>
          <w:sz w:val="28"/>
          <w:szCs w:val="28"/>
        </w:rPr>
      </w:pPr>
      <w:r w:rsidRPr="000D619F">
        <w:rPr>
          <w:rFonts w:ascii="Arial" w:hAnsi="Arial" w:cs="Arial"/>
          <w:sz w:val="28"/>
          <w:szCs w:val="28"/>
        </w:rPr>
        <w:t>Add shapes to the story</w:t>
      </w:r>
    </w:p>
    <w:p w:rsidR="00E3628A" w:rsidRDefault="00685722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The Data Exchange reports allows you to </w:t>
      </w:r>
      <w:proofErr w:type="gramStart"/>
      <w:r w:rsidR="00E3628A" w:rsidRPr="00E220E3">
        <w:rPr>
          <w:rFonts w:ascii="Arial" w:hAnsi="Arial" w:cs="Arial"/>
          <w:sz w:val="22"/>
          <w:lang w:eastAsia="en-AU"/>
        </w:rPr>
        <w:t>Add</w:t>
      </w:r>
      <w:proofErr w:type="gramEnd"/>
      <w:r w:rsidR="00E3628A" w:rsidRPr="00E220E3">
        <w:rPr>
          <w:rFonts w:ascii="Arial" w:hAnsi="Arial" w:cs="Arial"/>
          <w:sz w:val="22"/>
          <w:lang w:eastAsia="en-AU"/>
        </w:rPr>
        <w:t xml:space="preserve"> shapes to the story by using the </w:t>
      </w:r>
      <w:r w:rsidR="00E3628A" w:rsidRPr="000D619F">
        <w:rPr>
          <w:rFonts w:ascii="Arial" w:hAnsi="Arial" w:cs="Arial"/>
          <w:b/>
          <w:sz w:val="22"/>
          <w:lang w:eastAsia="en-AU"/>
        </w:rPr>
        <w:t>S</w:t>
      </w:r>
      <w:r w:rsidR="00E3628A" w:rsidRPr="00E220E3">
        <w:rPr>
          <w:rFonts w:ascii="Arial" w:hAnsi="Arial" w:cs="Arial"/>
          <w:b/>
          <w:sz w:val="22"/>
          <w:lang w:eastAsia="en-AU"/>
        </w:rPr>
        <w:t>hapes library</w:t>
      </w:r>
      <w:r w:rsidR="00E3628A" w:rsidRPr="00E220E3">
        <w:rPr>
          <w:rFonts w:ascii="Arial" w:hAnsi="Arial" w:cs="Arial"/>
          <w:sz w:val="22"/>
          <w:lang w:eastAsia="en-AU"/>
        </w:rPr>
        <w:t xml:space="preserve">. </w:t>
      </w:r>
    </w:p>
    <w:p w:rsidR="00510C0E" w:rsidRDefault="00510C0E" w:rsidP="00510C0E">
      <w:pPr>
        <w:spacing w:before="0" w:line="240" w:lineRule="auto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Access the required report and </w:t>
      </w:r>
      <w:proofErr w:type="gramStart"/>
      <w:r>
        <w:rPr>
          <w:rFonts w:ascii="Arial" w:hAnsi="Arial" w:cs="Arial"/>
          <w:sz w:val="22"/>
          <w:lang w:eastAsia="en-AU"/>
        </w:rPr>
        <w:t xml:space="preserve">select </w:t>
      </w:r>
      <w:proofErr w:type="gramEnd"/>
      <w:r>
        <w:rPr>
          <w:noProof/>
          <w:lang w:eastAsia="en-AU"/>
        </w:rPr>
        <w:drawing>
          <wp:inline distT="0" distB="0" distL="0" distR="0" wp14:anchorId="32968C84" wp14:editId="5499789F">
            <wp:extent cx="374573" cy="238365"/>
            <wp:effectExtent l="19050" t="19050" r="26035" b="9525"/>
            <wp:docPr id="2" name="Picture 2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573" cy="2383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>. The Stories pop up box will display.</w:t>
      </w:r>
    </w:p>
    <w:p w:rsidR="00510C0E" w:rsidRPr="00927C4B" w:rsidRDefault="00510C0E" w:rsidP="00510C0E">
      <w:pPr>
        <w:pStyle w:val="Caption"/>
        <w:keepNext/>
        <w:spacing w:after="0"/>
        <w:rPr>
          <w:rFonts w:ascii="Arial" w:hAnsi="Arial" w:cs="Arial"/>
        </w:rPr>
      </w:pPr>
      <w:r w:rsidRPr="00927C4B">
        <w:rPr>
          <w:rFonts w:ascii="Arial" w:hAnsi="Arial" w:cs="Arial"/>
          <w:caps w:val="0"/>
        </w:rPr>
        <w:t xml:space="preserve">Figure </w:t>
      </w:r>
      <w:r w:rsidRPr="00927C4B">
        <w:rPr>
          <w:rFonts w:ascii="Arial" w:hAnsi="Arial" w:cs="Arial"/>
        </w:rPr>
        <w:fldChar w:fldCharType="begin"/>
      </w:r>
      <w:r w:rsidRPr="00927C4B">
        <w:rPr>
          <w:rFonts w:ascii="Arial" w:hAnsi="Arial" w:cs="Arial"/>
        </w:rPr>
        <w:instrText xml:space="preserve"> SEQ Figure \* ARABIC </w:instrText>
      </w:r>
      <w:r w:rsidRPr="00927C4B">
        <w:rPr>
          <w:rFonts w:ascii="Arial" w:hAnsi="Arial" w:cs="Arial"/>
        </w:rPr>
        <w:fldChar w:fldCharType="separate"/>
      </w:r>
      <w:r w:rsidR="00942423">
        <w:rPr>
          <w:rFonts w:ascii="Arial" w:hAnsi="Arial" w:cs="Arial"/>
          <w:noProof/>
        </w:rPr>
        <w:t>1</w:t>
      </w:r>
      <w:r w:rsidRPr="00927C4B">
        <w:rPr>
          <w:rFonts w:ascii="Arial" w:hAnsi="Arial" w:cs="Arial"/>
        </w:rPr>
        <w:fldChar w:fldCharType="end"/>
      </w:r>
      <w:r w:rsidRPr="00927C4B">
        <w:rPr>
          <w:rFonts w:ascii="Arial" w:hAnsi="Arial" w:cs="Arial"/>
          <w:caps w:val="0"/>
        </w:rPr>
        <w:t xml:space="preserve"> – Stories </w:t>
      </w:r>
      <w:r>
        <w:rPr>
          <w:rFonts w:ascii="Arial" w:hAnsi="Arial" w:cs="Arial"/>
          <w:caps w:val="0"/>
        </w:rPr>
        <w:t>p</w:t>
      </w:r>
      <w:r w:rsidRPr="00927C4B">
        <w:rPr>
          <w:rFonts w:ascii="Arial" w:hAnsi="Arial" w:cs="Arial"/>
          <w:caps w:val="0"/>
        </w:rPr>
        <w:t>op</w:t>
      </w:r>
      <w:r>
        <w:rPr>
          <w:rFonts w:ascii="Arial" w:hAnsi="Arial" w:cs="Arial"/>
          <w:caps w:val="0"/>
        </w:rPr>
        <w:t xml:space="preserve"> u</w:t>
      </w:r>
      <w:r w:rsidRPr="00927C4B">
        <w:rPr>
          <w:rFonts w:ascii="Arial" w:hAnsi="Arial" w:cs="Arial"/>
          <w:caps w:val="0"/>
        </w:rPr>
        <w:t xml:space="preserve">p </w:t>
      </w:r>
      <w:r>
        <w:rPr>
          <w:rFonts w:ascii="Arial" w:hAnsi="Arial" w:cs="Arial"/>
          <w:caps w:val="0"/>
        </w:rPr>
        <w:t>b</w:t>
      </w:r>
      <w:r w:rsidRPr="00927C4B">
        <w:rPr>
          <w:rFonts w:ascii="Arial" w:hAnsi="Arial" w:cs="Arial"/>
          <w:caps w:val="0"/>
        </w:rPr>
        <w:t>ox</w:t>
      </w:r>
    </w:p>
    <w:p w:rsidR="00510C0E" w:rsidRDefault="00510C0E" w:rsidP="00510C0E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5E073CB7" wp14:editId="56B1116B">
            <wp:extent cx="5943600" cy="1765300"/>
            <wp:effectExtent l="19050" t="19050" r="19050" b="25400"/>
            <wp:docPr id="4" name="Picture 4" descr="This is an image of the Stories pop up box." title="Storie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10C0E" w:rsidRDefault="00510C0E" w:rsidP="00510C0E">
      <w:pPr>
        <w:spacing w:before="0"/>
        <w:rPr>
          <w:rFonts w:ascii="Arial" w:hAnsi="Arial" w:cs="Arial"/>
          <w:sz w:val="22"/>
          <w:lang w:eastAsia="en-AU"/>
        </w:rPr>
      </w:pPr>
    </w:p>
    <w:p w:rsidR="00510C0E" w:rsidRDefault="00510C0E" w:rsidP="00510C0E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the required </w:t>
      </w:r>
      <w:r w:rsidRPr="00927C4B">
        <w:rPr>
          <w:rFonts w:ascii="Arial" w:hAnsi="Arial" w:cs="Arial"/>
          <w:b/>
          <w:sz w:val="22"/>
          <w:lang w:eastAsia="en-AU"/>
        </w:rPr>
        <w:t>Story</w:t>
      </w:r>
      <w:r>
        <w:rPr>
          <w:rFonts w:ascii="Arial" w:hAnsi="Arial" w:cs="Arial"/>
          <w:sz w:val="22"/>
          <w:lang w:eastAsia="en-AU"/>
        </w:rPr>
        <w:t xml:space="preserve">. The </w:t>
      </w:r>
      <w:r w:rsidRPr="00927C4B">
        <w:rPr>
          <w:rFonts w:ascii="Arial" w:hAnsi="Arial" w:cs="Arial"/>
          <w:b/>
          <w:sz w:val="22"/>
          <w:lang w:eastAsia="en-AU"/>
        </w:rPr>
        <w:t xml:space="preserve">story </w:t>
      </w:r>
      <w:r>
        <w:rPr>
          <w:rFonts w:ascii="Arial" w:hAnsi="Arial" w:cs="Arial"/>
          <w:b/>
          <w:sz w:val="22"/>
          <w:lang w:eastAsia="en-AU"/>
        </w:rPr>
        <w:t>page</w:t>
      </w:r>
      <w:r>
        <w:rPr>
          <w:rFonts w:ascii="Arial" w:hAnsi="Arial" w:cs="Arial"/>
          <w:sz w:val="22"/>
          <w:lang w:eastAsia="en-AU"/>
        </w:rPr>
        <w:t xml:space="preserve"> will display.</w:t>
      </w:r>
    </w:p>
    <w:p w:rsidR="00E3628A" w:rsidRPr="00E3628A" w:rsidRDefault="00E3628A" w:rsidP="00942423">
      <w:pPr>
        <w:pStyle w:val="Caption"/>
        <w:keepNext/>
        <w:spacing w:after="0"/>
        <w:rPr>
          <w:rFonts w:ascii="Arial" w:hAnsi="Arial" w:cs="Arial"/>
        </w:rPr>
      </w:pPr>
      <w:r w:rsidRPr="00E3628A">
        <w:rPr>
          <w:rFonts w:ascii="Arial" w:hAnsi="Arial" w:cs="Arial"/>
          <w:caps w:val="0"/>
        </w:rPr>
        <w:t xml:space="preserve">Figure </w:t>
      </w:r>
      <w:proofErr w:type="gramStart"/>
      <w:r w:rsidR="00510C0E">
        <w:rPr>
          <w:rFonts w:ascii="Arial" w:hAnsi="Arial" w:cs="Arial"/>
          <w:caps w:val="0"/>
        </w:rPr>
        <w:t>2</w:t>
      </w:r>
      <w:proofErr w:type="gramEnd"/>
      <w:r w:rsidRPr="00E3628A">
        <w:rPr>
          <w:rFonts w:ascii="Arial" w:hAnsi="Arial" w:cs="Arial"/>
          <w:caps w:val="0"/>
        </w:rPr>
        <w:t xml:space="preserve"> –</w:t>
      </w:r>
      <w:r>
        <w:rPr>
          <w:rFonts w:ascii="Arial" w:hAnsi="Arial" w:cs="Arial"/>
          <w:caps w:val="0"/>
        </w:rPr>
        <w:t xml:space="preserve"> </w:t>
      </w:r>
      <w:r w:rsidR="00510C0E">
        <w:rPr>
          <w:rFonts w:ascii="Arial" w:hAnsi="Arial" w:cs="Arial"/>
          <w:caps w:val="0"/>
        </w:rPr>
        <w:t>Story page</w:t>
      </w:r>
    </w:p>
    <w:p w:rsidR="00E3628A" w:rsidRDefault="00E3628A" w:rsidP="00E3628A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6471F6F9" wp14:editId="031CA90B">
            <wp:extent cx="4219575" cy="2393346"/>
            <wp:effectExtent l="19050" t="19050" r="9525" b="26035"/>
            <wp:docPr id="1" name="Picture 1" descr="This is a screen shot of the story page in a report." title="Stor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7059" cy="23975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Default="00510C0E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Add </w:t>
      </w:r>
      <w:r w:rsidRPr="00900576">
        <w:rPr>
          <w:rFonts w:ascii="Arial" w:hAnsi="Arial" w:cs="Arial"/>
          <w:b/>
          <w:sz w:val="22"/>
          <w:lang w:eastAsia="en-AU"/>
        </w:rPr>
        <w:t>shapes</w:t>
      </w:r>
      <w:r>
        <w:rPr>
          <w:rFonts w:ascii="Arial" w:hAnsi="Arial" w:cs="Arial"/>
          <w:sz w:val="22"/>
          <w:lang w:eastAsia="en-AU"/>
        </w:rPr>
        <w:t xml:space="preserve"> to the story page by </w:t>
      </w:r>
      <w:r w:rsidR="00C52FBD">
        <w:rPr>
          <w:rFonts w:ascii="Arial" w:hAnsi="Arial" w:cs="Arial"/>
          <w:sz w:val="22"/>
          <w:lang w:eastAsia="en-AU"/>
        </w:rPr>
        <w:t>selecting</w:t>
      </w:r>
      <w:r>
        <w:rPr>
          <w:rFonts w:ascii="Arial" w:hAnsi="Arial" w:cs="Arial"/>
          <w:sz w:val="22"/>
          <w:lang w:eastAsia="en-AU"/>
        </w:rPr>
        <w:t xml:space="preserve"> </w:t>
      </w:r>
      <w:r w:rsidR="00E3628A" w:rsidRPr="00E220E3">
        <w:rPr>
          <w:rFonts w:ascii="Arial" w:hAnsi="Arial" w:cs="Arial"/>
          <w:sz w:val="22"/>
          <w:lang w:eastAsia="en-AU"/>
        </w:rPr>
        <w:t xml:space="preserve"> </w:t>
      </w:r>
      <w:r w:rsidR="00E3628A">
        <w:rPr>
          <w:noProof/>
          <w:lang w:eastAsia="en-AU"/>
        </w:rPr>
        <w:drawing>
          <wp:inline distT="0" distB="0" distL="0" distR="0" wp14:anchorId="0A2E737E" wp14:editId="33115369">
            <wp:extent cx="348868" cy="275422"/>
            <wp:effectExtent l="19050" t="19050" r="13335" b="10795"/>
            <wp:docPr id="28" name="Picture 28" descr="This is a screen shot of the shapes library icon." title="Shapes libra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E3628A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>within the functions bar found on the right-hand side o</w:t>
      </w:r>
      <w:r w:rsidR="00E3628A" w:rsidRPr="00E220E3">
        <w:rPr>
          <w:rFonts w:ascii="Arial" w:hAnsi="Arial" w:cs="Arial"/>
          <w:sz w:val="22"/>
          <w:lang w:eastAsia="en-AU"/>
        </w:rPr>
        <w:t xml:space="preserve">f the </w:t>
      </w:r>
      <w:r w:rsidR="0092378A">
        <w:rPr>
          <w:rFonts w:ascii="Arial" w:hAnsi="Arial" w:cs="Arial"/>
          <w:sz w:val="22"/>
          <w:lang w:eastAsia="en-AU"/>
        </w:rPr>
        <w:t>story page</w:t>
      </w:r>
      <w:r w:rsidR="00E3628A" w:rsidRPr="00E220E3">
        <w:rPr>
          <w:rFonts w:ascii="Arial" w:hAnsi="Arial" w:cs="Arial"/>
          <w:sz w:val="22"/>
          <w:lang w:eastAsia="en-AU"/>
        </w:rPr>
        <w:t xml:space="preserve">. </w:t>
      </w:r>
    </w:p>
    <w:p w:rsidR="00900576" w:rsidRDefault="00900576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br w:type="page"/>
      </w:r>
    </w:p>
    <w:p w:rsidR="00E3628A" w:rsidRDefault="00E3628A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 xml:space="preserve">The </w:t>
      </w:r>
      <w:r w:rsidRPr="00B26DAE">
        <w:rPr>
          <w:rFonts w:ascii="Arial" w:hAnsi="Arial" w:cs="Arial"/>
          <w:b/>
          <w:sz w:val="22"/>
          <w:lang w:eastAsia="en-AU"/>
        </w:rPr>
        <w:t xml:space="preserve">Shapes </w:t>
      </w:r>
      <w:r>
        <w:rPr>
          <w:rFonts w:ascii="Arial" w:hAnsi="Arial" w:cs="Arial"/>
          <w:b/>
          <w:sz w:val="22"/>
          <w:lang w:eastAsia="en-AU"/>
        </w:rPr>
        <w:t>l</w:t>
      </w:r>
      <w:r w:rsidRPr="00B26DAE">
        <w:rPr>
          <w:rFonts w:ascii="Arial" w:hAnsi="Arial" w:cs="Arial"/>
          <w:b/>
          <w:sz w:val="22"/>
          <w:lang w:eastAsia="en-AU"/>
        </w:rPr>
        <w:t>ibrary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E3628A" w:rsidRPr="007536DB" w:rsidRDefault="00E3628A" w:rsidP="00E3628A">
      <w:pPr>
        <w:pStyle w:val="Caption"/>
        <w:keepNext/>
        <w:spacing w:after="0"/>
        <w:rPr>
          <w:rFonts w:ascii="Arial" w:hAnsi="Arial" w:cs="Arial"/>
        </w:rPr>
      </w:pPr>
      <w:r>
        <w:rPr>
          <w:rFonts w:ascii="Arial" w:hAnsi="Arial" w:cs="Arial"/>
          <w:caps w:val="0"/>
        </w:rPr>
        <w:t>F</w:t>
      </w:r>
      <w:r w:rsidRPr="007536DB">
        <w:rPr>
          <w:rFonts w:ascii="Arial" w:hAnsi="Arial" w:cs="Arial"/>
          <w:caps w:val="0"/>
        </w:rPr>
        <w:t xml:space="preserve">igure </w:t>
      </w:r>
      <w:r w:rsidR="00510C0E">
        <w:rPr>
          <w:rFonts w:ascii="Arial" w:hAnsi="Arial" w:cs="Arial"/>
          <w:caps w:val="0"/>
        </w:rPr>
        <w:t>3</w:t>
      </w:r>
      <w:r w:rsidRPr="007536DB">
        <w:rPr>
          <w:rFonts w:ascii="Arial" w:hAnsi="Arial" w:cs="Arial"/>
          <w:caps w:val="0"/>
        </w:rPr>
        <w:t xml:space="preserve">- </w:t>
      </w:r>
      <w:r>
        <w:rPr>
          <w:rFonts w:ascii="Arial" w:hAnsi="Arial" w:cs="Arial"/>
          <w:caps w:val="0"/>
        </w:rPr>
        <w:t>S</w:t>
      </w:r>
      <w:r w:rsidRPr="007536DB">
        <w:rPr>
          <w:rFonts w:ascii="Arial" w:hAnsi="Arial" w:cs="Arial"/>
          <w:caps w:val="0"/>
        </w:rPr>
        <w:t>hapes library pop up box</w:t>
      </w:r>
    </w:p>
    <w:p w:rsidR="00E3628A" w:rsidRDefault="00E3628A" w:rsidP="00E3628A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3AB9A42F" wp14:editId="7EDC6C06">
            <wp:extent cx="1542362" cy="2122658"/>
            <wp:effectExtent l="19050" t="19050" r="20320" b="11430"/>
            <wp:docPr id="30" name="Picture 30" descr="This is a screen shot of the Shapes library pop up box." title="Shapes library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61" cy="21635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Default="00E3628A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b/>
          <w:sz w:val="22"/>
          <w:lang w:eastAsia="en-AU"/>
        </w:rPr>
        <w:t xml:space="preserve">Click and drag </w:t>
      </w:r>
      <w:r w:rsidRPr="008D0763">
        <w:rPr>
          <w:rFonts w:ascii="Arial" w:hAnsi="Arial" w:cs="Arial"/>
          <w:sz w:val="22"/>
          <w:lang w:eastAsia="en-AU"/>
        </w:rPr>
        <w:t>or</w:t>
      </w:r>
      <w:r>
        <w:rPr>
          <w:rFonts w:ascii="Arial" w:hAnsi="Arial" w:cs="Arial"/>
          <w:b/>
          <w:sz w:val="22"/>
          <w:lang w:eastAsia="en-AU"/>
        </w:rPr>
        <w:t xml:space="preserve"> d</w:t>
      </w:r>
      <w:r w:rsidRPr="007536DB">
        <w:rPr>
          <w:rFonts w:ascii="Arial" w:hAnsi="Arial" w:cs="Arial"/>
          <w:b/>
          <w:sz w:val="22"/>
          <w:lang w:eastAsia="en-AU"/>
        </w:rPr>
        <w:t xml:space="preserve">ouble click </w:t>
      </w:r>
      <w:r w:rsidRPr="007536DB">
        <w:rPr>
          <w:rFonts w:ascii="Arial" w:hAnsi="Arial" w:cs="Arial"/>
          <w:sz w:val="22"/>
          <w:lang w:eastAsia="en-AU"/>
        </w:rPr>
        <w:t xml:space="preserve">on the desired shape to add it to the </w:t>
      </w:r>
      <w:r w:rsidR="007D6750">
        <w:rPr>
          <w:rFonts w:ascii="Arial" w:hAnsi="Arial" w:cs="Arial"/>
          <w:sz w:val="22"/>
          <w:lang w:eastAsia="en-AU"/>
        </w:rPr>
        <w:t>story page</w:t>
      </w:r>
      <w:r w:rsidRPr="007536DB">
        <w:rPr>
          <w:rFonts w:ascii="Arial" w:hAnsi="Arial" w:cs="Arial"/>
          <w:sz w:val="22"/>
          <w:lang w:eastAsia="en-AU"/>
        </w:rPr>
        <w:t>.</w:t>
      </w:r>
    </w:p>
    <w:p w:rsidR="00E3628A" w:rsidRPr="000D619F" w:rsidRDefault="00E3628A" w:rsidP="00E3628A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0D619F">
        <w:rPr>
          <w:rFonts w:ascii="Arial" w:hAnsi="Arial" w:cs="Arial"/>
          <w:caps w:val="0"/>
          <w:szCs w:val="16"/>
        </w:rPr>
        <w:t xml:space="preserve">Figure </w:t>
      </w:r>
      <w:proofErr w:type="gramStart"/>
      <w:r w:rsidR="00510C0E">
        <w:rPr>
          <w:rFonts w:ascii="Arial" w:hAnsi="Arial" w:cs="Arial"/>
          <w:caps w:val="0"/>
          <w:szCs w:val="16"/>
        </w:rPr>
        <w:t>4</w:t>
      </w:r>
      <w:proofErr w:type="gramEnd"/>
      <w:r w:rsidRPr="000D619F">
        <w:rPr>
          <w:rFonts w:ascii="Arial" w:hAnsi="Arial" w:cs="Arial"/>
          <w:caps w:val="0"/>
          <w:szCs w:val="16"/>
        </w:rPr>
        <w:t xml:space="preserve"> – Add shapes to the story pop up box</w:t>
      </w:r>
    </w:p>
    <w:p w:rsidR="00E3628A" w:rsidRPr="00E220E3" w:rsidRDefault="00E3628A" w:rsidP="00E3628A">
      <w:pPr>
        <w:spacing w:before="0"/>
        <w:rPr>
          <w:rFonts w:ascii="Arial" w:hAnsi="Arial" w:cs="Arial"/>
          <w:sz w:val="22"/>
        </w:rPr>
      </w:pPr>
      <w:r w:rsidRPr="00E220E3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692910EC" wp14:editId="677B1967">
            <wp:extent cx="3782264" cy="2019631"/>
            <wp:effectExtent l="19050" t="19050" r="27940" b="19050"/>
            <wp:docPr id="824" name="Picture 824" descr="this is a screen shot of the Add shapes to the story pop up box" title="Add shapes to the story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1469" cy="2035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Default="00E3628A" w:rsidP="00E3628A">
      <w:pPr>
        <w:spacing w:before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 xml:space="preserve">Use the </w:t>
      </w:r>
      <w:r>
        <w:rPr>
          <w:noProof/>
          <w:lang w:eastAsia="en-AU"/>
        </w:rPr>
        <w:drawing>
          <wp:inline distT="0" distB="0" distL="0" distR="0" wp14:anchorId="788A854B" wp14:editId="75287844">
            <wp:extent cx="284825" cy="220337"/>
            <wp:effectExtent l="19050" t="19050" r="20320" b="27940"/>
            <wp:docPr id="29" name="Picture 29" descr="This is a screen shot of the handles that can be used to resize and move the image anywhere on the page." title="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402" cy="226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416C">
        <w:rPr>
          <w:rFonts w:ascii="Arial" w:hAnsi="Arial" w:cs="Arial"/>
          <w:noProof/>
          <w:sz w:val="22"/>
          <w:lang w:eastAsia="en-AU"/>
        </w:rPr>
        <w:t xml:space="preserve"> to resize or move the shape</w:t>
      </w:r>
      <w:r>
        <w:rPr>
          <w:rFonts w:ascii="Arial" w:hAnsi="Arial" w:cs="Arial"/>
          <w:noProof/>
          <w:sz w:val="22"/>
          <w:lang w:eastAsia="en-AU"/>
        </w:rPr>
        <w:t xml:space="preserve"> anywhere on the page.</w:t>
      </w:r>
    </w:p>
    <w:p w:rsidR="00E3628A" w:rsidRDefault="00E3628A" w:rsidP="00E3628A">
      <w:pPr>
        <w:rPr>
          <w:rFonts w:ascii="Arial" w:hAnsi="Arial" w:cs="Arial"/>
          <w:sz w:val="22"/>
          <w:lang w:eastAsia="en-AU"/>
        </w:rPr>
      </w:pPr>
      <w:r w:rsidRPr="007536DB">
        <w:rPr>
          <w:rFonts w:ascii="Arial" w:hAnsi="Arial" w:cs="Arial"/>
          <w:sz w:val="22"/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2C9AC9CE" wp14:editId="493CBC7A">
            <wp:extent cx="373617" cy="220338"/>
            <wp:effectExtent l="19050" t="19050" r="26670" b="27940"/>
            <wp:docPr id="672" name="Picture 672" descr="This is a screen shot of the Colour menu drop down arrow." title="Colour menu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456" cy="22496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 </w:t>
      </w:r>
      <w:r w:rsidRPr="007536DB">
        <w:rPr>
          <w:rFonts w:ascii="Arial" w:hAnsi="Arial" w:cs="Arial"/>
          <w:sz w:val="22"/>
          <w:lang w:eastAsia="en-AU"/>
        </w:rPr>
        <w:t>to edit the colour of the shape.</w:t>
      </w:r>
    </w:p>
    <w:p w:rsidR="00E3628A" w:rsidRPr="007536DB" w:rsidRDefault="00E3628A" w:rsidP="00E3628A">
      <w:pPr>
        <w:rPr>
          <w:rFonts w:ascii="Arial" w:hAnsi="Arial" w:cs="Arial"/>
          <w:sz w:val="22"/>
          <w:lang w:eastAsia="en-AU"/>
        </w:rPr>
      </w:pPr>
      <w:proofErr w:type="gramStart"/>
      <w:r w:rsidRPr="007536DB">
        <w:rPr>
          <w:rFonts w:ascii="Arial" w:hAnsi="Arial" w:cs="Arial"/>
          <w:sz w:val="22"/>
          <w:lang w:eastAsia="en-AU"/>
        </w:rPr>
        <w:t xml:space="preserve">The </w:t>
      </w:r>
      <w:r w:rsidRPr="007536DB">
        <w:rPr>
          <w:rFonts w:ascii="Arial" w:hAnsi="Arial" w:cs="Arial"/>
          <w:b/>
          <w:sz w:val="22"/>
          <w:lang w:eastAsia="en-AU"/>
        </w:rPr>
        <w:sym w:font="Wingdings" w:char="F0FC"/>
      </w:r>
      <w:r w:rsidRPr="007536DB">
        <w:rPr>
          <w:rFonts w:ascii="Arial" w:hAnsi="Arial" w:cs="Arial"/>
          <w:b/>
          <w:sz w:val="22"/>
          <w:lang w:eastAsia="en-AU"/>
        </w:rPr>
        <w:t xml:space="preserve"> </w:t>
      </w:r>
      <w:r w:rsidRPr="007536DB">
        <w:rPr>
          <w:rFonts w:ascii="Arial" w:hAnsi="Arial" w:cs="Arial"/>
          <w:sz w:val="22"/>
          <w:lang w:eastAsia="en-AU"/>
        </w:rPr>
        <w:t>confirms</w:t>
      </w:r>
      <w:proofErr w:type="gramEnd"/>
      <w:r w:rsidRPr="007536DB">
        <w:rPr>
          <w:rFonts w:ascii="Arial" w:hAnsi="Arial" w:cs="Arial"/>
          <w:sz w:val="22"/>
          <w:lang w:eastAsia="en-AU"/>
        </w:rPr>
        <w:t xml:space="preserve"> your colour selection.</w:t>
      </w:r>
    </w:p>
    <w:p w:rsidR="00E3628A" w:rsidRPr="007536DB" w:rsidRDefault="00E3628A" w:rsidP="00E3628A">
      <w:pPr>
        <w:pStyle w:val="Caption"/>
        <w:keepNext/>
        <w:spacing w:before="240" w:after="0"/>
        <w:rPr>
          <w:rFonts w:ascii="Arial" w:hAnsi="Arial" w:cs="Arial"/>
          <w:szCs w:val="16"/>
        </w:rPr>
      </w:pPr>
      <w:r w:rsidRPr="007536DB">
        <w:rPr>
          <w:rFonts w:ascii="Arial" w:hAnsi="Arial" w:cs="Arial"/>
          <w:caps w:val="0"/>
          <w:szCs w:val="16"/>
        </w:rPr>
        <w:t xml:space="preserve">Figure </w:t>
      </w:r>
      <w:proofErr w:type="gramStart"/>
      <w:r w:rsidR="00510C0E">
        <w:rPr>
          <w:rFonts w:ascii="Arial" w:hAnsi="Arial" w:cs="Arial"/>
          <w:caps w:val="0"/>
          <w:szCs w:val="16"/>
        </w:rPr>
        <w:t>5</w:t>
      </w:r>
      <w:proofErr w:type="gramEnd"/>
      <w:r w:rsidRPr="007536DB">
        <w:rPr>
          <w:rFonts w:ascii="Arial" w:hAnsi="Arial" w:cs="Arial"/>
          <w:caps w:val="0"/>
          <w:szCs w:val="16"/>
        </w:rPr>
        <w:t xml:space="preserve"> – Edit the shape colour menu</w:t>
      </w:r>
    </w:p>
    <w:p w:rsidR="00E3628A" w:rsidRDefault="00685722" w:rsidP="00E3628A">
      <w:pPr>
        <w:spacing w:before="0"/>
        <w:rPr>
          <w:rFonts w:ascii="Arial" w:hAnsi="Arial" w:cs="Arial"/>
          <w:sz w:val="22"/>
          <w:lang w:eastAsia="en-AU"/>
        </w:rPr>
      </w:pPr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89A4" wp14:editId="6F841EA2">
                <wp:simplePos x="0" y="0"/>
                <wp:positionH relativeFrom="margin">
                  <wp:posOffset>-16620</wp:posOffset>
                </wp:positionH>
                <wp:positionV relativeFrom="paragraph">
                  <wp:posOffset>1971040</wp:posOffset>
                </wp:positionV>
                <wp:extent cx="6774512" cy="1129085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1129085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22" w:rsidRDefault="00685722" w:rsidP="00685722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proofErr w:type="gramStart"/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>can be found</w:t>
                            </w:r>
                            <w:proofErr w:type="gramEnd"/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 in the </w:t>
                            </w:r>
                            <w:hyperlink r:id="rId20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color w:val="04617B" w:themeColor="text2"/>
                                  <w:sz w:val="22"/>
                                </w:rPr>
                                <w:t>Data Exchange Protocols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04617B" w:themeColor="text2"/>
                                <w:sz w:val="22"/>
                              </w:rPr>
                              <w:t xml:space="preserve">. </w:t>
                            </w:r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Task Cards on reports functionality </w:t>
                            </w:r>
                            <w:proofErr w:type="gramStart"/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>can be found</w:t>
                            </w:r>
                            <w:proofErr w:type="gramEnd"/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 on the </w:t>
                            </w:r>
                            <w:hyperlink r:id="rId21" w:history="1">
                              <w:r w:rsidRPr="00AA4C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Self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-</w:t>
                              </w:r>
                              <w:r w:rsidRPr="00AA4C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Service Reports tab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322ED1"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685722" w:rsidRPr="00862594" w:rsidRDefault="00685722" w:rsidP="00685722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>For technical support</w:t>
                            </w:r>
                            <w:proofErr w:type="gramStart"/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  <w:proofErr w:type="gramEnd"/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contact the Data Exchange Helpdesk by email </w:t>
                            </w:r>
                            <w:hyperlink r:id="rId22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685722" w:rsidRPr="00D87703" w:rsidRDefault="00685722" w:rsidP="00685722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389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3pt;margin-top:155.2pt;width:533.4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" fillcolor="#b8dde1" stroked="f">
                <v:textbox>
                  <w:txbxContent>
                    <w:p w:rsidR="00685722" w:rsidRDefault="00685722" w:rsidP="00685722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the </w:t>
                      </w:r>
                      <w:hyperlink r:id="rId23" w:history="1">
                        <w:r w:rsidRPr="00322ED1">
                          <w:rPr>
                            <w:rStyle w:val="Hyperlink"/>
                            <w:rFonts w:ascii="Arial" w:hAnsi="Arial" w:cs="Arial"/>
                            <w:color w:val="04617B" w:themeColor="text2"/>
                            <w:sz w:val="22"/>
                          </w:rPr>
                          <w:t>Data Exchange Protocols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04617B" w:themeColor="text2"/>
                          <w:sz w:val="22"/>
                        </w:rPr>
                        <w:t xml:space="preserve">. </w:t>
                      </w:r>
                      <w:r w:rsidRPr="00AA4CA0">
                        <w:rPr>
                          <w:rStyle w:val="Hyperlink"/>
                          <w:rFonts w:ascii="Arial" w:hAnsi="Arial" w:cs="Arial"/>
                          <w:sz w:val="22"/>
                        </w:rPr>
                        <w:t xml:space="preserve">Task Cards on reports functionality can be found on the </w:t>
                      </w:r>
                      <w:hyperlink r:id="rId24" w:history="1">
                        <w:r w:rsidRPr="00AA4CA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Self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-</w:t>
                        </w:r>
                        <w:r w:rsidRPr="00AA4CA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Service Reports tab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2"/>
                        </w:rPr>
                        <w:t>.</w:t>
                      </w:r>
                      <w:r w:rsidRPr="00322ED1"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  <w:t xml:space="preserve"> </w:t>
                      </w:r>
                    </w:p>
                    <w:p w:rsidR="00685722" w:rsidRPr="00862594" w:rsidRDefault="00685722" w:rsidP="00685722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25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685722" w:rsidRPr="00D87703" w:rsidRDefault="00685722" w:rsidP="00685722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28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3A176997" wp14:editId="2F3A9475">
            <wp:extent cx="1144746" cy="1885950"/>
            <wp:effectExtent l="19050" t="19050" r="17780" b="19050"/>
            <wp:docPr id="31" name="Picture 31" descr="This is a screen shot of the Edit the shape colour menu." title="Edit the shape colou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26" cy="18925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Pr="0005187C" w:rsidRDefault="00E3628A" w:rsidP="00E3628A"/>
    <w:bookmarkEnd w:id="1"/>
    <w:bookmarkEnd w:id="2"/>
    <w:p w:rsidR="00E3628A" w:rsidRPr="0005187C" w:rsidRDefault="00E3628A" w:rsidP="00E3628A"/>
    <w:sectPr w:rsidR="00E3628A" w:rsidRPr="0005187C" w:rsidSect="00685722"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11" w:rsidRDefault="00E31611" w:rsidP="00C46F4D">
      <w:pPr>
        <w:spacing w:after="0" w:line="240" w:lineRule="auto"/>
      </w:pPr>
      <w:r>
        <w:separator/>
      </w:r>
    </w:p>
  </w:endnote>
  <w:endnote w:type="continuationSeparator" w:id="0">
    <w:p w:rsidR="00E31611" w:rsidRDefault="00E31611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E220E3" w:rsidP="00E3628A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Add </w:t>
          </w:r>
          <w:r w:rsidR="00E3628A">
            <w:rPr>
              <w:rFonts w:ascii="Arial" w:hAnsi="Arial" w:cs="Arial"/>
              <w:sz w:val="18"/>
              <w:szCs w:val="18"/>
            </w:rPr>
            <w:t>shapes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062D77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B78A5" w:rsidRPr="001B78A5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Pr="002A15E1" w:rsidRDefault="00AD74F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E220E3" w:rsidP="00E3628A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Add </w:t>
          </w:r>
          <w:r w:rsidR="00E3628A">
            <w:rPr>
              <w:rFonts w:ascii="Arial" w:hAnsi="Arial" w:cs="Arial"/>
              <w:sz w:val="18"/>
              <w:szCs w:val="18"/>
            </w:rPr>
            <w:t>shapes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B78A5" w:rsidRPr="001B78A5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Default="00AD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11" w:rsidRDefault="00E31611" w:rsidP="00C46F4D">
      <w:pPr>
        <w:spacing w:after="0" w:line="240" w:lineRule="auto"/>
      </w:pPr>
      <w:r>
        <w:separator/>
      </w:r>
    </w:p>
  </w:footnote>
  <w:footnote w:type="continuationSeparator" w:id="0">
    <w:p w:rsidR="00E31611" w:rsidRDefault="00E31611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FF" w:rsidRDefault="00685722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075E5A60" wp14:editId="49BDD4A4">
          <wp:simplePos x="0" y="0"/>
          <wp:positionH relativeFrom="page">
            <wp:posOffset>14605</wp:posOffset>
          </wp:positionH>
          <wp:positionV relativeFrom="paragraph">
            <wp:posOffset>-786461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C18"/>
    <w:multiLevelType w:val="hybridMultilevel"/>
    <w:tmpl w:val="5AC2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405B"/>
    <w:multiLevelType w:val="hybridMultilevel"/>
    <w:tmpl w:val="2E746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867F6"/>
    <w:multiLevelType w:val="hybridMultilevel"/>
    <w:tmpl w:val="339A0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80C02"/>
    <w:multiLevelType w:val="hybridMultilevel"/>
    <w:tmpl w:val="A6C8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6244A"/>
    <w:multiLevelType w:val="hybridMultilevel"/>
    <w:tmpl w:val="CFF8D2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37999"/>
    <w:multiLevelType w:val="hybridMultilevel"/>
    <w:tmpl w:val="CF463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25FA9"/>
    <w:multiLevelType w:val="hybridMultilevel"/>
    <w:tmpl w:val="6B9007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4E15AB5"/>
    <w:multiLevelType w:val="hybridMultilevel"/>
    <w:tmpl w:val="37AAE218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D1A02"/>
    <w:multiLevelType w:val="hybridMultilevel"/>
    <w:tmpl w:val="0FD23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E30"/>
    <w:multiLevelType w:val="hybridMultilevel"/>
    <w:tmpl w:val="91422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8676A"/>
    <w:multiLevelType w:val="hybridMultilevel"/>
    <w:tmpl w:val="5E94C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C3B1E"/>
    <w:multiLevelType w:val="hybridMultilevel"/>
    <w:tmpl w:val="77D81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F47BE"/>
    <w:multiLevelType w:val="hybridMultilevel"/>
    <w:tmpl w:val="2DDEF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15641"/>
    <w:multiLevelType w:val="multilevel"/>
    <w:tmpl w:val="A0542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E3B72CC"/>
    <w:multiLevelType w:val="hybridMultilevel"/>
    <w:tmpl w:val="4A2CF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7"/>
    <w:lvlOverride w:ilvl="0">
      <w:startOverride w:val="7"/>
    </w:lvlOverride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22D4B"/>
    <w:rsid w:val="00030373"/>
    <w:rsid w:val="000354D0"/>
    <w:rsid w:val="0005187C"/>
    <w:rsid w:val="0005428C"/>
    <w:rsid w:val="000550DD"/>
    <w:rsid w:val="00062D77"/>
    <w:rsid w:val="00074A16"/>
    <w:rsid w:val="000D619F"/>
    <w:rsid w:val="00134376"/>
    <w:rsid w:val="00136B1A"/>
    <w:rsid w:val="0013709C"/>
    <w:rsid w:val="00143241"/>
    <w:rsid w:val="0014454D"/>
    <w:rsid w:val="00167D6E"/>
    <w:rsid w:val="00185669"/>
    <w:rsid w:val="001938F4"/>
    <w:rsid w:val="001A09FC"/>
    <w:rsid w:val="001A44DF"/>
    <w:rsid w:val="001A67EE"/>
    <w:rsid w:val="001B78A5"/>
    <w:rsid w:val="001C107F"/>
    <w:rsid w:val="001D4D62"/>
    <w:rsid w:val="001E630D"/>
    <w:rsid w:val="002161C5"/>
    <w:rsid w:val="00261B20"/>
    <w:rsid w:val="0026232A"/>
    <w:rsid w:val="002819DE"/>
    <w:rsid w:val="002A15E1"/>
    <w:rsid w:val="002A275A"/>
    <w:rsid w:val="002C57E9"/>
    <w:rsid w:val="002D4158"/>
    <w:rsid w:val="00304DFA"/>
    <w:rsid w:val="0035045F"/>
    <w:rsid w:val="00372473"/>
    <w:rsid w:val="00374DB4"/>
    <w:rsid w:val="00375845"/>
    <w:rsid w:val="0038766E"/>
    <w:rsid w:val="0039303E"/>
    <w:rsid w:val="003B1191"/>
    <w:rsid w:val="003B2BB8"/>
    <w:rsid w:val="003C02BE"/>
    <w:rsid w:val="003D34FF"/>
    <w:rsid w:val="003D6860"/>
    <w:rsid w:val="003F12CD"/>
    <w:rsid w:val="003F2770"/>
    <w:rsid w:val="00456644"/>
    <w:rsid w:val="004641D6"/>
    <w:rsid w:val="00464B10"/>
    <w:rsid w:val="00475466"/>
    <w:rsid w:val="00475C7E"/>
    <w:rsid w:val="00485CEB"/>
    <w:rsid w:val="004B54CA"/>
    <w:rsid w:val="004C1066"/>
    <w:rsid w:val="004C6CEB"/>
    <w:rsid w:val="004D06CD"/>
    <w:rsid w:val="004D6697"/>
    <w:rsid w:val="004E07CF"/>
    <w:rsid w:val="004E5CBF"/>
    <w:rsid w:val="004F7808"/>
    <w:rsid w:val="00510C0E"/>
    <w:rsid w:val="00513840"/>
    <w:rsid w:val="00520521"/>
    <w:rsid w:val="00527C2E"/>
    <w:rsid w:val="00541C7B"/>
    <w:rsid w:val="005431D9"/>
    <w:rsid w:val="005A101F"/>
    <w:rsid w:val="005A6756"/>
    <w:rsid w:val="005B29D9"/>
    <w:rsid w:val="005C3AA9"/>
    <w:rsid w:val="005D416C"/>
    <w:rsid w:val="005D732C"/>
    <w:rsid w:val="006148EE"/>
    <w:rsid w:val="00615824"/>
    <w:rsid w:val="0061698D"/>
    <w:rsid w:val="00617A5E"/>
    <w:rsid w:val="00633593"/>
    <w:rsid w:val="0067558F"/>
    <w:rsid w:val="006758EF"/>
    <w:rsid w:val="00677C11"/>
    <w:rsid w:val="00685186"/>
    <w:rsid w:val="00685722"/>
    <w:rsid w:val="006A2AC9"/>
    <w:rsid w:val="006A4CE7"/>
    <w:rsid w:val="006B6F31"/>
    <w:rsid w:val="006C5954"/>
    <w:rsid w:val="006D0B3F"/>
    <w:rsid w:val="006D43BC"/>
    <w:rsid w:val="006D79F4"/>
    <w:rsid w:val="006E0B3E"/>
    <w:rsid w:val="00717DB4"/>
    <w:rsid w:val="0075259D"/>
    <w:rsid w:val="007536DB"/>
    <w:rsid w:val="00754998"/>
    <w:rsid w:val="00776A1B"/>
    <w:rsid w:val="00784343"/>
    <w:rsid w:val="00785261"/>
    <w:rsid w:val="0079207E"/>
    <w:rsid w:val="00797075"/>
    <w:rsid w:val="007A7EB3"/>
    <w:rsid w:val="007B0256"/>
    <w:rsid w:val="007C16B0"/>
    <w:rsid w:val="007D43A0"/>
    <w:rsid w:val="007D6750"/>
    <w:rsid w:val="007F3412"/>
    <w:rsid w:val="0080716C"/>
    <w:rsid w:val="00807A50"/>
    <w:rsid w:val="00810235"/>
    <w:rsid w:val="00826F02"/>
    <w:rsid w:val="00862594"/>
    <w:rsid w:val="00865F6F"/>
    <w:rsid w:val="00877DDB"/>
    <w:rsid w:val="008827DA"/>
    <w:rsid w:val="0088578A"/>
    <w:rsid w:val="008867DC"/>
    <w:rsid w:val="008901D4"/>
    <w:rsid w:val="00896CAC"/>
    <w:rsid w:val="008B68CD"/>
    <w:rsid w:val="008C16E1"/>
    <w:rsid w:val="008D3EE6"/>
    <w:rsid w:val="008D4E2D"/>
    <w:rsid w:val="008E4162"/>
    <w:rsid w:val="008E6D2B"/>
    <w:rsid w:val="008F7BD2"/>
    <w:rsid w:val="00900576"/>
    <w:rsid w:val="009225F0"/>
    <w:rsid w:val="0092378A"/>
    <w:rsid w:val="009405D2"/>
    <w:rsid w:val="0094154A"/>
    <w:rsid w:val="00942423"/>
    <w:rsid w:val="00956DD2"/>
    <w:rsid w:val="00972394"/>
    <w:rsid w:val="009739DC"/>
    <w:rsid w:val="009A0139"/>
    <w:rsid w:val="009A44D1"/>
    <w:rsid w:val="009A6CF5"/>
    <w:rsid w:val="009B5017"/>
    <w:rsid w:val="009C6448"/>
    <w:rsid w:val="009D5388"/>
    <w:rsid w:val="009E09EE"/>
    <w:rsid w:val="009F1272"/>
    <w:rsid w:val="00A1184E"/>
    <w:rsid w:val="00A53400"/>
    <w:rsid w:val="00A6195C"/>
    <w:rsid w:val="00A62FAE"/>
    <w:rsid w:val="00A67ED1"/>
    <w:rsid w:val="00A960AE"/>
    <w:rsid w:val="00AA0E6B"/>
    <w:rsid w:val="00AB2248"/>
    <w:rsid w:val="00AC680D"/>
    <w:rsid w:val="00AD2855"/>
    <w:rsid w:val="00AD74FF"/>
    <w:rsid w:val="00AE03DC"/>
    <w:rsid w:val="00B065FD"/>
    <w:rsid w:val="00B10994"/>
    <w:rsid w:val="00B14564"/>
    <w:rsid w:val="00B26ECC"/>
    <w:rsid w:val="00B317F6"/>
    <w:rsid w:val="00B4281E"/>
    <w:rsid w:val="00B504F5"/>
    <w:rsid w:val="00B60E0D"/>
    <w:rsid w:val="00B73262"/>
    <w:rsid w:val="00BA2DB9"/>
    <w:rsid w:val="00BC2BFA"/>
    <w:rsid w:val="00BC2F0D"/>
    <w:rsid w:val="00BD7A38"/>
    <w:rsid w:val="00BE7148"/>
    <w:rsid w:val="00BE7613"/>
    <w:rsid w:val="00C14021"/>
    <w:rsid w:val="00C40046"/>
    <w:rsid w:val="00C46F4D"/>
    <w:rsid w:val="00C52FBD"/>
    <w:rsid w:val="00C55A16"/>
    <w:rsid w:val="00C57E82"/>
    <w:rsid w:val="00C6501C"/>
    <w:rsid w:val="00C845CE"/>
    <w:rsid w:val="00C95DDC"/>
    <w:rsid w:val="00CA4F9B"/>
    <w:rsid w:val="00CB62CD"/>
    <w:rsid w:val="00CC7E10"/>
    <w:rsid w:val="00CD49E3"/>
    <w:rsid w:val="00CE03DA"/>
    <w:rsid w:val="00CE388F"/>
    <w:rsid w:val="00CE447E"/>
    <w:rsid w:val="00CF7CCC"/>
    <w:rsid w:val="00D775FC"/>
    <w:rsid w:val="00D87703"/>
    <w:rsid w:val="00DA7038"/>
    <w:rsid w:val="00DB2DCA"/>
    <w:rsid w:val="00DB7113"/>
    <w:rsid w:val="00DD71D7"/>
    <w:rsid w:val="00DE7772"/>
    <w:rsid w:val="00DF1347"/>
    <w:rsid w:val="00E03A9D"/>
    <w:rsid w:val="00E10961"/>
    <w:rsid w:val="00E13F23"/>
    <w:rsid w:val="00E220E3"/>
    <w:rsid w:val="00E222C4"/>
    <w:rsid w:val="00E31611"/>
    <w:rsid w:val="00E3628A"/>
    <w:rsid w:val="00E44728"/>
    <w:rsid w:val="00E463F8"/>
    <w:rsid w:val="00E478EC"/>
    <w:rsid w:val="00E71328"/>
    <w:rsid w:val="00E76826"/>
    <w:rsid w:val="00E77EEC"/>
    <w:rsid w:val="00E9254E"/>
    <w:rsid w:val="00E97954"/>
    <w:rsid w:val="00EC4B63"/>
    <w:rsid w:val="00ED17CB"/>
    <w:rsid w:val="00EE7D00"/>
    <w:rsid w:val="00EF01E1"/>
    <w:rsid w:val="00F06604"/>
    <w:rsid w:val="00F44DBF"/>
    <w:rsid w:val="00F457FA"/>
    <w:rsid w:val="00F46278"/>
    <w:rsid w:val="00F46A86"/>
    <w:rsid w:val="00F87D76"/>
    <w:rsid w:val="00F87DAE"/>
    <w:rsid w:val="00F93A15"/>
    <w:rsid w:val="00F97887"/>
    <w:rsid w:val="00FB3F11"/>
    <w:rsid w:val="00FC7C5D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2883D-F253-45A7-8FA4-22A3DCF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dex.dss.gov.au/report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dssdataexchange.helpdesk@dss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dex.dss.gov.au/data-exchange-protocol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videos/search?q=qlik+sense+tutorials+youtube&amp;qpvt=qlik+sense+tutorials+youtube&amp;FORM=VDRE" TargetMode="External"/><Relationship Id="rId24" Type="http://schemas.openxmlformats.org/officeDocument/2006/relationships/hyperlink" Target="https://dex.dss.gov.au/repor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dex.dss.gov.au/data-exchange-protocol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elp.qlik.com/en-US/sense/2.2/Content/Tutorials.htm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ng.com/videos/search?q=qlik+sense+tutorials+youtube&amp;qpvt=qlik+sense+tutorials+youtube&amp;FORM=VDRE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dssdataexchange.helpdesk@dss.gov.a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63A5-4425-48E0-A897-650D9CE3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lastModifiedBy>PEACOCK, Kellie</cp:lastModifiedBy>
  <cp:revision>2</cp:revision>
  <cp:lastPrinted>2017-05-19T02:39:00Z</cp:lastPrinted>
  <dcterms:created xsi:type="dcterms:W3CDTF">2018-03-15T23:51:00Z</dcterms:created>
  <dcterms:modified xsi:type="dcterms:W3CDTF">2018-03-15T23:51:00Z</dcterms:modified>
</cp:coreProperties>
</file>