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30D98" w14:textId="77777777" w:rsidR="00297E8C" w:rsidRPr="006F27C5" w:rsidRDefault="00297E8C" w:rsidP="000656B3">
      <w:pPr>
        <w:pStyle w:val="Heading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240" w:lineRule="auto"/>
        <w:ind w:right="425"/>
        <w:contextualSpacing/>
        <w:jc w:val="center"/>
        <w:rPr>
          <w:rFonts w:ascii="Georgia" w:eastAsiaTheme="majorEastAsia" w:hAnsi="Georgia" w:cstheme="majorBidi"/>
          <w:bCs/>
          <w:color w:val="005A70"/>
          <w:sz w:val="40"/>
          <w:szCs w:val="40"/>
          <w:lang w:val="en-US" w:eastAsia="en-US"/>
        </w:rPr>
      </w:pPr>
      <w:r w:rsidRPr="006F27C5">
        <w:rPr>
          <w:rFonts w:ascii="Georgia" w:eastAsiaTheme="majorEastAsia" w:hAnsi="Georgia" w:cstheme="majorBidi"/>
          <w:bCs/>
          <w:color w:val="005A70"/>
          <w:sz w:val="40"/>
          <w:szCs w:val="40"/>
          <w:lang w:val="en-US" w:eastAsia="en-US"/>
        </w:rPr>
        <w:t xml:space="preserve">Developing a benchmarking methodology for </w:t>
      </w:r>
      <w:bookmarkStart w:id="0" w:name="_GoBack"/>
      <w:bookmarkEnd w:id="0"/>
      <w:r w:rsidRPr="006F27C5">
        <w:rPr>
          <w:rFonts w:ascii="Georgia" w:eastAsiaTheme="majorEastAsia" w:hAnsi="Georgia" w:cstheme="majorBidi"/>
          <w:bCs/>
          <w:color w:val="005A70"/>
          <w:sz w:val="40"/>
          <w:szCs w:val="40"/>
          <w:lang w:val="en-US" w:eastAsia="en-US"/>
        </w:rPr>
        <w:t>the Data Exchange</w:t>
      </w:r>
    </w:p>
    <w:p w14:paraId="2DD0FB0C" w14:textId="3B75AF1F" w:rsidR="00907E13" w:rsidRPr="00A07561" w:rsidRDefault="00D95553" w:rsidP="00C66BCD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>Benchmarking is a powerful business management tool to help organisations compare performance data with other similar organisations, also known as peer group</w:t>
      </w:r>
      <w:r w:rsidR="009147C8">
        <w:rPr>
          <w:rFonts w:ascii="Arial" w:hAnsi="Arial" w:cs="Arial"/>
          <w:sz w:val="24"/>
          <w:szCs w:val="24"/>
        </w:rPr>
        <w:t>ing</w:t>
      </w:r>
      <w:r w:rsidRPr="00A07561">
        <w:rPr>
          <w:rFonts w:ascii="Arial" w:hAnsi="Arial" w:cs="Arial"/>
          <w:sz w:val="24"/>
          <w:szCs w:val="24"/>
        </w:rPr>
        <w:t xml:space="preserve">. </w:t>
      </w:r>
      <w:r w:rsidR="00070DC6" w:rsidRPr="00A07561">
        <w:rPr>
          <w:rFonts w:ascii="Arial" w:hAnsi="Arial" w:cs="Arial"/>
          <w:sz w:val="24"/>
          <w:szCs w:val="24"/>
        </w:rPr>
        <w:t>It</w:t>
      </w:r>
      <w:r w:rsidR="00907E13" w:rsidRPr="00A07561">
        <w:rPr>
          <w:rFonts w:ascii="Arial" w:hAnsi="Arial" w:cs="Arial"/>
          <w:sz w:val="24"/>
          <w:szCs w:val="24"/>
        </w:rPr>
        <w:t xml:space="preserve"> aims to provide tools that support organisations to build a meaningful understanding of their strengths and areas for improvement. Benchmarking </w:t>
      </w:r>
      <w:r w:rsidR="001676F1" w:rsidRPr="00A07561">
        <w:rPr>
          <w:rFonts w:ascii="Arial" w:hAnsi="Arial" w:cs="Arial"/>
          <w:sz w:val="24"/>
          <w:szCs w:val="24"/>
        </w:rPr>
        <w:t xml:space="preserve">provides insights on trends across similar service types and helps organisations </w:t>
      </w:r>
      <w:r w:rsidR="00907E13" w:rsidRPr="00A07561">
        <w:rPr>
          <w:rFonts w:ascii="Arial" w:hAnsi="Arial" w:cs="Arial"/>
          <w:sz w:val="24"/>
          <w:szCs w:val="24"/>
        </w:rPr>
        <w:t xml:space="preserve">analyse and refine services </w:t>
      </w:r>
      <w:r w:rsidR="008D1043">
        <w:rPr>
          <w:rFonts w:ascii="Arial" w:hAnsi="Arial" w:cs="Arial"/>
          <w:sz w:val="24"/>
          <w:szCs w:val="24"/>
        </w:rPr>
        <w:t>when</w:t>
      </w:r>
      <w:r w:rsidR="008D1043" w:rsidRPr="00A07561">
        <w:rPr>
          <w:rFonts w:ascii="Arial" w:hAnsi="Arial" w:cs="Arial"/>
          <w:sz w:val="24"/>
          <w:szCs w:val="24"/>
        </w:rPr>
        <w:t xml:space="preserve"> </w:t>
      </w:r>
      <w:r w:rsidR="00907E13" w:rsidRPr="00A07561">
        <w:rPr>
          <w:rFonts w:ascii="Arial" w:hAnsi="Arial" w:cs="Arial"/>
          <w:sz w:val="24"/>
          <w:szCs w:val="24"/>
        </w:rPr>
        <w:t xml:space="preserve">innovative </w:t>
      </w:r>
      <w:r w:rsidR="008311DC" w:rsidRPr="00A07561">
        <w:rPr>
          <w:rFonts w:ascii="Arial" w:hAnsi="Arial" w:cs="Arial"/>
          <w:sz w:val="24"/>
          <w:szCs w:val="24"/>
        </w:rPr>
        <w:t xml:space="preserve">practices </w:t>
      </w:r>
      <w:proofErr w:type="gramStart"/>
      <w:r w:rsidR="008311DC" w:rsidRPr="00A07561">
        <w:rPr>
          <w:rFonts w:ascii="Arial" w:hAnsi="Arial" w:cs="Arial"/>
          <w:sz w:val="24"/>
          <w:szCs w:val="24"/>
        </w:rPr>
        <w:t>are identified</w:t>
      </w:r>
      <w:proofErr w:type="gramEnd"/>
      <w:r w:rsidR="008311DC" w:rsidRPr="00A07561">
        <w:rPr>
          <w:rFonts w:ascii="Arial" w:hAnsi="Arial" w:cs="Arial"/>
          <w:sz w:val="24"/>
          <w:szCs w:val="24"/>
        </w:rPr>
        <w:t>.</w:t>
      </w:r>
    </w:p>
    <w:p w14:paraId="453BCFE1" w14:textId="7EF0BB37" w:rsidR="008311DC" w:rsidRPr="00A07561" w:rsidRDefault="008311DC" w:rsidP="00C66BCD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 xml:space="preserve">In 2017, the Department of Social Services commissioned the Queensland University of Technology to conduct a review to identify state-of-the-art methods for benchmarking, drawing from related, peer-reviewed literature in social services, hospitals, schools and other areas. </w:t>
      </w:r>
      <w:r w:rsidR="006F27C5">
        <w:rPr>
          <w:rFonts w:ascii="Arial" w:hAnsi="Arial" w:cs="Arial"/>
          <w:sz w:val="24"/>
          <w:szCs w:val="24"/>
        </w:rPr>
        <w:t xml:space="preserve">The </w:t>
      </w:r>
      <w:r w:rsidR="00840143" w:rsidRPr="00A07561">
        <w:rPr>
          <w:rFonts w:ascii="Arial" w:hAnsi="Arial" w:cs="Arial"/>
          <w:sz w:val="24"/>
          <w:szCs w:val="24"/>
        </w:rPr>
        <w:t>Queensland University of Technology</w:t>
      </w:r>
      <w:r w:rsidR="00840143" w:rsidDel="00840143">
        <w:rPr>
          <w:rFonts w:ascii="Arial" w:hAnsi="Arial" w:cs="Arial"/>
          <w:sz w:val="24"/>
          <w:szCs w:val="24"/>
        </w:rPr>
        <w:t xml:space="preserve"> </w:t>
      </w:r>
      <w:r w:rsidR="006F27C5">
        <w:rPr>
          <w:rFonts w:ascii="Arial" w:hAnsi="Arial" w:cs="Arial"/>
          <w:sz w:val="24"/>
          <w:szCs w:val="24"/>
        </w:rPr>
        <w:t>has assessed t</w:t>
      </w:r>
      <w:r w:rsidRPr="00A07561">
        <w:rPr>
          <w:rFonts w:ascii="Arial" w:hAnsi="Arial" w:cs="Arial"/>
          <w:sz w:val="24"/>
          <w:szCs w:val="24"/>
        </w:rPr>
        <w:t xml:space="preserve">he quality of data from the Data Exchange and identified activities, organisations and reporting periods for which there was sufficient data for benchmarking. </w:t>
      </w:r>
    </w:p>
    <w:p w14:paraId="58BB3AAE" w14:textId="09C2FBFA" w:rsidR="000526F4" w:rsidRPr="00A07561" w:rsidRDefault="008654AD" w:rsidP="00C66BCD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311DC" w:rsidRPr="00A07561">
        <w:rPr>
          <w:rFonts w:ascii="Arial" w:hAnsi="Arial" w:cs="Arial"/>
          <w:sz w:val="24"/>
          <w:szCs w:val="24"/>
        </w:rPr>
        <w:t>evelop</w:t>
      </w:r>
      <w:r>
        <w:rPr>
          <w:rFonts w:ascii="Arial" w:hAnsi="Arial" w:cs="Arial"/>
          <w:sz w:val="24"/>
          <w:szCs w:val="24"/>
        </w:rPr>
        <w:t>ment of</w:t>
      </w:r>
      <w:r w:rsidR="008311DC" w:rsidRPr="00A07561">
        <w:rPr>
          <w:rFonts w:ascii="Arial" w:hAnsi="Arial" w:cs="Arial"/>
          <w:sz w:val="24"/>
          <w:szCs w:val="24"/>
        </w:rPr>
        <w:t xml:space="preserve"> a Data Exchange benchmarking </w:t>
      </w:r>
      <w:r w:rsidR="00FE53EB">
        <w:rPr>
          <w:rFonts w:ascii="Arial" w:hAnsi="Arial" w:cs="Arial"/>
          <w:sz w:val="24"/>
          <w:szCs w:val="24"/>
        </w:rPr>
        <w:t xml:space="preserve">statistical </w:t>
      </w:r>
      <w:r w:rsidR="008311DC" w:rsidRPr="00A07561">
        <w:rPr>
          <w:rFonts w:ascii="Arial" w:hAnsi="Arial" w:cs="Arial"/>
          <w:sz w:val="24"/>
          <w:szCs w:val="24"/>
        </w:rPr>
        <w:t>methodology will commence</w:t>
      </w:r>
      <w:r w:rsidR="00840143">
        <w:rPr>
          <w:rFonts w:ascii="Arial" w:hAnsi="Arial" w:cs="Arial"/>
          <w:sz w:val="24"/>
          <w:szCs w:val="24"/>
        </w:rPr>
        <w:t xml:space="preserve"> </w:t>
      </w:r>
      <w:r w:rsidR="00840143" w:rsidRPr="00A07561">
        <w:rPr>
          <w:rFonts w:ascii="Arial" w:hAnsi="Arial" w:cs="Arial"/>
          <w:sz w:val="24"/>
          <w:szCs w:val="24"/>
        </w:rPr>
        <w:t>shortly</w:t>
      </w:r>
      <w:r w:rsidR="00CB6F4A" w:rsidRPr="00A07561">
        <w:rPr>
          <w:rFonts w:ascii="Arial" w:hAnsi="Arial" w:cs="Arial"/>
          <w:sz w:val="24"/>
          <w:szCs w:val="24"/>
        </w:rPr>
        <w:t xml:space="preserve">. </w:t>
      </w:r>
      <w:r w:rsidR="008311DC" w:rsidRPr="00A07561">
        <w:rPr>
          <w:rFonts w:ascii="Arial" w:hAnsi="Arial" w:cs="Arial"/>
          <w:sz w:val="24"/>
          <w:szCs w:val="24"/>
        </w:rPr>
        <w:t>Collaboration is critical to the success of the development of the Data Exchange benchmarking process, and t</w:t>
      </w:r>
      <w:r w:rsidR="00CB6F4A" w:rsidRPr="00A07561">
        <w:rPr>
          <w:rFonts w:ascii="Arial" w:hAnsi="Arial" w:cs="Arial"/>
          <w:sz w:val="24"/>
          <w:szCs w:val="24"/>
        </w:rPr>
        <w:t xml:space="preserve">his work </w:t>
      </w:r>
      <w:proofErr w:type="gramStart"/>
      <w:r w:rsidR="00CB6F4A" w:rsidRPr="00A07561">
        <w:rPr>
          <w:rFonts w:ascii="Arial" w:hAnsi="Arial" w:cs="Arial"/>
          <w:sz w:val="24"/>
          <w:szCs w:val="24"/>
        </w:rPr>
        <w:t>will be undertaken</w:t>
      </w:r>
      <w:proofErr w:type="gramEnd"/>
      <w:r w:rsidR="00CB6F4A" w:rsidRPr="00A07561">
        <w:rPr>
          <w:rFonts w:ascii="Arial" w:hAnsi="Arial" w:cs="Arial"/>
          <w:sz w:val="24"/>
          <w:szCs w:val="24"/>
        </w:rPr>
        <w:t xml:space="preserve"> in tandem with organisations through experimental </w:t>
      </w:r>
      <w:r w:rsidR="00FE53EB">
        <w:rPr>
          <w:rFonts w:ascii="Arial" w:hAnsi="Arial" w:cs="Arial"/>
          <w:sz w:val="24"/>
          <w:szCs w:val="24"/>
        </w:rPr>
        <w:t>testing</w:t>
      </w:r>
      <w:r w:rsidR="00FE53EB" w:rsidRPr="00A07561">
        <w:rPr>
          <w:rFonts w:ascii="Arial" w:hAnsi="Arial" w:cs="Arial"/>
          <w:sz w:val="24"/>
          <w:szCs w:val="24"/>
        </w:rPr>
        <w:t xml:space="preserve"> </w:t>
      </w:r>
      <w:r w:rsidR="00CB6F4A" w:rsidRPr="00A07561">
        <w:rPr>
          <w:rFonts w:ascii="Arial" w:hAnsi="Arial" w:cs="Arial"/>
          <w:sz w:val="24"/>
          <w:szCs w:val="24"/>
        </w:rPr>
        <w:t xml:space="preserve">and collaboration on delivery approaches. </w:t>
      </w:r>
      <w:bookmarkStart w:id="1" w:name="_gjdgxs" w:colFirst="0" w:colLast="0"/>
      <w:bookmarkStart w:id="2" w:name="_z16fssv7bwku" w:colFirst="0" w:colLast="0"/>
      <w:bookmarkEnd w:id="1"/>
      <w:bookmarkEnd w:id="2"/>
      <w:r w:rsidR="008D1043">
        <w:rPr>
          <w:rFonts w:ascii="Arial" w:hAnsi="Arial" w:cs="Arial"/>
          <w:sz w:val="24"/>
          <w:szCs w:val="24"/>
        </w:rPr>
        <w:t>T</w:t>
      </w:r>
      <w:r w:rsidR="003B0430" w:rsidRPr="00A07561">
        <w:rPr>
          <w:rFonts w:ascii="Arial" w:hAnsi="Arial" w:cs="Arial"/>
          <w:sz w:val="24"/>
          <w:szCs w:val="24"/>
        </w:rPr>
        <w:t>he</w:t>
      </w:r>
      <w:r w:rsidR="00027026">
        <w:rPr>
          <w:rFonts w:ascii="Arial" w:hAnsi="Arial" w:cs="Arial"/>
          <w:sz w:val="24"/>
          <w:szCs w:val="24"/>
        </w:rPr>
        <w:t xml:space="preserve"> statistical</w:t>
      </w:r>
      <w:r w:rsidR="003B0430" w:rsidRPr="00A07561">
        <w:rPr>
          <w:rFonts w:ascii="Arial" w:hAnsi="Arial" w:cs="Arial"/>
          <w:sz w:val="24"/>
          <w:szCs w:val="24"/>
        </w:rPr>
        <w:t xml:space="preserve"> methods for benchmarking </w:t>
      </w:r>
      <w:proofErr w:type="gramStart"/>
      <w:r w:rsidR="008311DC" w:rsidRPr="00A07561">
        <w:rPr>
          <w:rFonts w:ascii="Arial" w:hAnsi="Arial" w:cs="Arial"/>
          <w:sz w:val="24"/>
          <w:szCs w:val="24"/>
        </w:rPr>
        <w:t>will be developed</w:t>
      </w:r>
      <w:proofErr w:type="gramEnd"/>
      <w:r w:rsidR="008311DC" w:rsidRPr="00A07561">
        <w:rPr>
          <w:rFonts w:ascii="Arial" w:hAnsi="Arial" w:cs="Arial"/>
          <w:sz w:val="24"/>
          <w:szCs w:val="24"/>
        </w:rPr>
        <w:t xml:space="preserve"> </w:t>
      </w:r>
      <w:r w:rsidR="00D95553" w:rsidRPr="00A07561">
        <w:rPr>
          <w:rFonts w:ascii="Arial" w:hAnsi="Arial" w:cs="Arial"/>
          <w:sz w:val="24"/>
          <w:szCs w:val="24"/>
        </w:rPr>
        <w:t>by</w:t>
      </w:r>
      <w:r w:rsidR="00192446" w:rsidRPr="00A07561">
        <w:rPr>
          <w:rFonts w:ascii="Arial" w:hAnsi="Arial" w:cs="Arial"/>
          <w:sz w:val="24"/>
          <w:szCs w:val="24"/>
        </w:rPr>
        <w:t>:</w:t>
      </w:r>
    </w:p>
    <w:p w14:paraId="48307D94" w14:textId="251E88C3" w:rsidR="00840143" w:rsidRDefault="00070DC6" w:rsidP="00C66BCD">
      <w:pPr>
        <w:numPr>
          <w:ilvl w:val="0"/>
          <w:numId w:val="1"/>
        </w:numPr>
        <w:spacing w:before="240" w:after="24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b/>
          <w:sz w:val="24"/>
          <w:szCs w:val="24"/>
        </w:rPr>
        <w:t>Evaluat</w:t>
      </w:r>
      <w:r w:rsidR="00BF376D">
        <w:rPr>
          <w:rFonts w:ascii="Arial" w:hAnsi="Arial" w:cs="Arial"/>
          <w:b/>
          <w:sz w:val="24"/>
          <w:szCs w:val="24"/>
        </w:rPr>
        <w:t>i</w:t>
      </w:r>
      <w:r w:rsidRPr="00A07561">
        <w:rPr>
          <w:rFonts w:ascii="Arial" w:hAnsi="Arial" w:cs="Arial"/>
          <w:b/>
          <w:sz w:val="24"/>
          <w:szCs w:val="24"/>
        </w:rPr>
        <w:t>ng</w:t>
      </w:r>
      <w:r w:rsidR="0001062A" w:rsidRPr="00A07561">
        <w:rPr>
          <w:rFonts w:ascii="Arial" w:hAnsi="Arial" w:cs="Arial"/>
          <w:b/>
          <w:sz w:val="24"/>
          <w:szCs w:val="24"/>
        </w:rPr>
        <w:t xml:space="preserve"> </w:t>
      </w:r>
      <w:r w:rsidR="00840143" w:rsidRPr="005D7429">
        <w:rPr>
          <w:rFonts w:ascii="Arial" w:hAnsi="Arial" w:cs="Arial"/>
          <w:sz w:val="24"/>
          <w:szCs w:val="24"/>
        </w:rPr>
        <w:t xml:space="preserve">the </w:t>
      </w:r>
      <w:r w:rsidR="00840143">
        <w:rPr>
          <w:rFonts w:ascii="Arial" w:hAnsi="Arial" w:cs="Arial"/>
          <w:sz w:val="24"/>
          <w:szCs w:val="24"/>
        </w:rPr>
        <w:t xml:space="preserve">quality of </w:t>
      </w:r>
      <w:r w:rsidR="0001062A" w:rsidRPr="005D7429">
        <w:rPr>
          <w:rFonts w:ascii="Arial" w:hAnsi="Arial" w:cs="Arial"/>
          <w:sz w:val="24"/>
          <w:szCs w:val="24"/>
        </w:rPr>
        <w:t>D</w:t>
      </w:r>
      <w:r w:rsidR="00907E13" w:rsidRPr="005D7429">
        <w:rPr>
          <w:rFonts w:ascii="Arial" w:hAnsi="Arial" w:cs="Arial"/>
          <w:sz w:val="24"/>
          <w:szCs w:val="24"/>
        </w:rPr>
        <w:t>ata Exchange</w:t>
      </w:r>
      <w:r w:rsidR="0001062A" w:rsidRPr="005D7429">
        <w:rPr>
          <w:rFonts w:ascii="Arial" w:hAnsi="Arial" w:cs="Arial"/>
          <w:sz w:val="24"/>
          <w:szCs w:val="24"/>
        </w:rPr>
        <w:t xml:space="preserve"> data</w:t>
      </w:r>
      <w:r w:rsidR="00840143">
        <w:rPr>
          <w:rFonts w:ascii="Arial" w:hAnsi="Arial" w:cs="Arial"/>
          <w:sz w:val="24"/>
          <w:szCs w:val="24"/>
        </w:rPr>
        <w:t xml:space="preserve">set, considering the range of submitted data. Organisational characteristics and client demographic data will form the basis of peer groupings. </w:t>
      </w:r>
    </w:p>
    <w:p w14:paraId="6A392722" w14:textId="4A46C512" w:rsidR="0001062A" w:rsidRPr="00A07561" w:rsidRDefault="00070DC6" w:rsidP="00C66BCD">
      <w:pPr>
        <w:numPr>
          <w:ilvl w:val="0"/>
          <w:numId w:val="1"/>
        </w:numPr>
        <w:spacing w:before="240" w:after="240" w:line="240" w:lineRule="auto"/>
        <w:ind w:left="340" w:hanging="340"/>
        <w:rPr>
          <w:rFonts w:ascii="Arial" w:hAnsi="Arial" w:cs="Arial"/>
          <w:sz w:val="24"/>
          <w:szCs w:val="24"/>
        </w:rPr>
      </w:pPr>
      <w:r w:rsidRPr="00BF376D">
        <w:rPr>
          <w:rFonts w:ascii="Arial" w:hAnsi="Arial" w:cs="Arial"/>
          <w:b/>
          <w:sz w:val="24"/>
          <w:szCs w:val="24"/>
        </w:rPr>
        <w:t>Undertaking an</w:t>
      </w:r>
      <w:r w:rsidRPr="00A07561">
        <w:rPr>
          <w:rFonts w:ascii="Arial" w:hAnsi="Arial" w:cs="Arial"/>
          <w:b/>
          <w:sz w:val="24"/>
          <w:szCs w:val="24"/>
        </w:rPr>
        <w:t xml:space="preserve"> e</w:t>
      </w:r>
      <w:r w:rsidR="00894D58" w:rsidRPr="00A07561">
        <w:rPr>
          <w:rFonts w:ascii="Arial" w:hAnsi="Arial" w:cs="Arial"/>
          <w:b/>
          <w:sz w:val="24"/>
          <w:szCs w:val="24"/>
        </w:rPr>
        <w:t xml:space="preserve">xperimental </w:t>
      </w:r>
      <w:r w:rsidR="0001062A" w:rsidRPr="00A07561">
        <w:rPr>
          <w:rFonts w:ascii="Arial" w:hAnsi="Arial" w:cs="Arial"/>
          <w:b/>
          <w:sz w:val="24"/>
          <w:szCs w:val="24"/>
        </w:rPr>
        <w:t xml:space="preserve">study </w:t>
      </w:r>
      <w:r w:rsidR="0001062A" w:rsidRPr="005D7429">
        <w:rPr>
          <w:rFonts w:ascii="Arial" w:hAnsi="Arial" w:cs="Arial"/>
          <w:sz w:val="24"/>
          <w:szCs w:val="24"/>
        </w:rPr>
        <w:t>of benchmarking</w:t>
      </w:r>
      <w:r w:rsidR="0001062A" w:rsidRPr="00A07561">
        <w:rPr>
          <w:rFonts w:ascii="Arial" w:hAnsi="Arial" w:cs="Arial"/>
          <w:b/>
          <w:sz w:val="24"/>
          <w:szCs w:val="24"/>
        </w:rPr>
        <w:t>.</w:t>
      </w:r>
      <w:r w:rsidR="0001062A" w:rsidRPr="00A07561">
        <w:rPr>
          <w:rFonts w:ascii="Arial" w:hAnsi="Arial" w:cs="Arial"/>
          <w:sz w:val="24"/>
          <w:szCs w:val="24"/>
        </w:rPr>
        <w:t xml:space="preserve"> </w:t>
      </w:r>
      <w:r w:rsidR="00840143">
        <w:rPr>
          <w:rFonts w:ascii="Arial" w:hAnsi="Arial" w:cs="Arial"/>
          <w:sz w:val="24"/>
          <w:szCs w:val="24"/>
        </w:rPr>
        <w:t xml:space="preserve">The Data Exchange will work closely with a small number of organisations to test peer groupings and identify opportunities and </w:t>
      </w:r>
      <w:r w:rsidR="0001062A" w:rsidRPr="00A07561">
        <w:rPr>
          <w:rFonts w:ascii="Arial" w:hAnsi="Arial" w:cs="Arial"/>
          <w:sz w:val="24"/>
          <w:szCs w:val="24"/>
        </w:rPr>
        <w:t>areas for improvement</w:t>
      </w:r>
      <w:r w:rsidR="00907E13" w:rsidRPr="00A07561">
        <w:rPr>
          <w:rFonts w:ascii="Arial" w:hAnsi="Arial" w:cs="Arial"/>
          <w:sz w:val="24"/>
          <w:szCs w:val="24"/>
        </w:rPr>
        <w:t>s</w:t>
      </w:r>
      <w:r w:rsidR="0001062A" w:rsidRPr="00A07561">
        <w:rPr>
          <w:rFonts w:ascii="Arial" w:hAnsi="Arial" w:cs="Arial"/>
          <w:sz w:val="24"/>
          <w:szCs w:val="24"/>
        </w:rPr>
        <w:t xml:space="preserve"> in the benchmarking methodology.</w:t>
      </w:r>
    </w:p>
    <w:p w14:paraId="2D9F3ADD" w14:textId="1E3FBA49" w:rsidR="0001062A" w:rsidRPr="00A07561" w:rsidRDefault="00BF376D" w:rsidP="00C66BCD">
      <w:pPr>
        <w:numPr>
          <w:ilvl w:val="0"/>
          <w:numId w:val="1"/>
        </w:numPr>
        <w:spacing w:before="240" w:after="240" w:line="240" w:lineRule="auto"/>
        <w:ind w:left="340" w:hanging="3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Refining </w:t>
      </w:r>
      <w:r w:rsidRPr="005D7429">
        <w:rPr>
          <w:rFonts w:ascii="Arial" w:hAnsi="Arial" w:cs="Arial"/>
          <w:sz w:val="24"/>
          <w:szCs w:val="24"/>
        </w:rPr>
        <w:t xml:space="preserve">the </w:t>
      </w:r>
      <w:r w:rsidR="0001062A" w:rsidRPr="00A07561">
        <w:rPr>
          <w:rFonts w:ascii="Arial" w:hAnsi="Arial" w:cs="Arial"/>
          <w:sz w:val="24"/>
          <w:szCs w:val="24"/>
        </w:rPr>
        <w:t xml:space="preserve">peer grouping based on gaps identified in the </w:t>
      </w:r>
      <w:r w:rsidR="00894D58" w:rsidRPr="00A07561">
        <w:rPr>
          <w:rFonts w:ascii="Arial" w:hAnsi="Arial" w:cs="Arial"/>
          <w:sz w:val="24"/>
          <w:szCs w:val="24"/>
        </w:rPr>
        <w:t xml:space="preserve">experimental </w:t>
      </w:r>
      <w:r w:rsidR="0001062A" w:rsidRPr="00A07561">
        <w:rPr>
          <w:rFonts w:ascii="Arial" w:hAnsi="Arial" w:cs="Arial"/>
          <w:sz w:val="24"/>
          <w:szCs w:val="24"/>
        </w:rPr>
        <w:t>study. Testing of new method</w:t>
      </w:r>
      <w:r w:rsidR="00070DC6" w:rsidRPr="00A07561">
        <w:rPr>
          <w:rFonts w:ascii="Arial" w:hAnsi="Arial" w:cs="Arial"/>
          <w:sz w:val="24"/>
          <w:szCs w:val="24"/>
        </w:rPr>
        <w:t>(</w:t>
      </w:r>
      <w:r w:rsidR="0001062A" w:rsidRPr="00A07561">
        <w:rPr>
          <w:rFonts w:ascii="Arial" w:hAnsi="Arial" w:cs="Arial"/>
          <w:sz w:val="24"/>
          <w:szCs w:val="24"/>
        </w:rPr>
        <w:t>s</w:t>
      </w:r>
      <w:r w:rsidR="00070DC6" w:rsidRPr="00A07561">
        <w:rPr>
          <w:rFonts w:ascii="Arial" w:hAnsi="Arial" w:cs="Arial"/>
          <w:sz w:val="24"/>
          <w:szCs w:val="24"/>
        </w:rPr>
        <w:t>)</w:t>
      </w:r>
      <w:r w:rsidR="0001062A" w:rsidRPr="00A075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062A" w:rsidRPr="00A07561">
        <w:rPr>
          <w:rFonts w:ascii="Arial" w:hAnsi="Arial" w:cs="Arial"/>
          <w:sz w:val="24"/>
          <w:szCs w:val="24"/>
        </w:rPr>
        <w:t>will be conducted</w:t>
      </w:r>
      <w:proofErr w:type="gramEnd"/>
      <w:r w:rsidR="0001062A" w:rsidRPr="00A07561">
        <w:rPr>
          <w:rFonts w:ascii="Arial" w:hAnsi="Arial" w:cs="Arial"/>
          <w:sz w:val="24"/>
          <w:szCs w:val="24"/>
        </w:rPr>
        <w:t xml:space="preserve"> in collaboration with </w:t>
      </w:r>
      <w:r w:rsidR="00D60518">
        <w:rPr>
          <w:rFonts w:ascii="Arial" w:hAnsi="Arial" w:cs="Arial"/>
          <w:sz w:val="24"/>
          <w:szCs w:val="24"/>
        </w:rPr>
        <w:t>organisations</w:t>
      </w:r>
      <w:r w:rsidR="0001062A" w:rsidRPr="00A07561">
        <w:rPr>
          <w:rFonts w:ascii="Arial" w:hAnsi="Arial" w:cs="Arial"/>
          <w:sz w:val="24"/>
          <w:szCs w:val="24"/>
        </w:rPr>
        <w:t xml:space="preserve">. </w:t>
      </w:r>
    </w:p>
    <w:p w14:paraId="1FB5FE21" w14:textId="77777777" w:rsidR="000E5D3E" w:rsidRDefault="000E5D3E" w:rsidP="00C66BCD">
      <w:pPr>
        <w:spacing w:before="240" w:after="240" w:line="240" w:lineRule="auto"/>
        <w:rPr>
          <w:rFonts w:ascii="Georgia" w:eastAsiaTheme="majorEastAsia" w:hAnsi="Georgia" w:cstheme="majorBidi"/>
          <w:b/>
          <w:bCs/>
          <w:color w:val="005A70"/>
          <w:sz w:val="28"/>
          <w:szCs w:val="28"/>
          <w:lang w:val="en-US" w:eastAsia="en-US"/>
        </w:rPr>
      </w:pPr>
      <w:bookmarkStart w:id="3" w:name="_f8u753xm2wqs" w:colFirst="0" w:colLast="0"/>
      <w:bookmarkEnd w:id="3"/>
    </w:p>
    <w:p w14:paraId="160CAA48" w14:textId="6E3C7088" w:rsidR="00115CE3" w:rsidRPr="00115CE3" w:rsidRDefault="00115CE3" w:rsidP="00C66BCD">
      <w:pPr>
        <w:spacing w:before="240" w:after="240" w:line="240" w:lineRule="auto"/>
        <w:rPr>
          <w:rFonts w:ascii="Georgia" w:eastAsiaTheme="majorEastAsia" w:hAnsi="Georgia" w:cstheme="majorBidi"/>
          <w:b/>
          <w:bCs/>
          <w:color w:val="005A70"/>
          <w:sz w:val="28"/>
          <w:szCs w:val="28"/>
          <w:lang w:val="en-US" w:eastAsia="en-US"/>
        </w:rPr>
      </w:pPr>
      <w:r w:rsidRPr="00115CE3">
        <w:rPr>
          <w:rFonts w:ascii="Georgia" w:eastAsiaTheme="majorEastAsia" w:hAnsi="Georgia" w:cstheme="majorBidi"/>
          <w:b/>
          <w:bCs/>
          <w:color w:val="005A70"/>
          <w:sz w:val="28"/>
          <w:szCs w:val="28"/>
          <w:lang w:val="en-US" w:eastAsia="en-US"/>
        </w:rPr>
        <w:t xml:space="preserve">Benchmarking guidance </w:t>
      </w:r>
    </w:p>
    <w:p w14:paraId="4A5FA934" w14:textId="1078096D" w:rsidR="00C66BCD" w:rsidRPr="003F1CF7" w:rsidRDefault="00C66BCD" w:rsidP="005D7429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C66BCD">
        <w:rPr>
          <w:rFonts w:ascii="Arial" w:hAnsi="Arial" w:cs="Arial"/>
          <w:sz w:val="24"/>
          <w:szCs w:val="24"/>
        </w:rPr>
        <w:t xml:space="preserve">Comprehensive guidance material will be provided to </w:t>
      </w:r>
      <w:r w:rsidR="00BF376D">
        <w:rPr>
          <w:rFonts w:ascii="Arial" w:hAnsi="Arial" w:cs="Arial"/>
          <w:sz w:val="24"/>
          <w:szCs w:val="24"/>
        </w:rPr>
        <w:t xml:space="preserve">support </w:t>
      </w:r>
      <w:r w:rsidRPr="00C66BCD">
        <w:rPr>
          <w:rFonts w:ascii="Arial" w:hAnsi="Arial" w:cs="Arial"/>
          <w:sz w:val="24"/>
          <w:szCs w:val="24"/>
        </w:rPr>
        <w:t>implementati</w:t>
      </w:r>
      <w:r w:rsidRPr="003F1CF7">
        <w:rPr>
          <w:rFonts w:ascii="Arial" w:hAnsi="Arial" w:cs="Arial"/>
          <w:sz w:val="24"/>
          <w:szCs w:val="24"/>
        </w:rPr>
        <w:t xml:space="preserve">on the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Data Exchange</w:t>
        </w:r>
      </w:hyperlink>
      <w:r>
        <w:rPr>
          <w:rFonts w:ascii="Arial" w:hAnsi="Arial" w:cs="Arial"/>
          <w:sz w:val="24"/>
          <w:szCs w:val="24"/>
        </w:rPr>
        <w:t xml:space="preserve"> website. </w:t>
      </w:r>
    </w:p>
    <w:p w14:paraId="52EB18F0" w14:textId="6F37ED17" w:rsidR="003F1CF7" w:rsidRDefault="00C66BCD" w:rsidP="00C66BCD">
      <w:pPr>
        <w:spacing w:before="240" w:after="240"/>
        <w:rPr>
          <w:rFonts w:ascii="Arial" w:hAnsi="Arial" w:cs="Arial"/>
          <w:sz w:val="24"/>
          <w:szCs w:val="24"/>
        </w:rPr>
      </w:pPr>
      <w:r w:rsidRPr="003F1CF7">
        <w:rPr>
          <w:rFonts w:ascii="Arial" w:hAnsi="Arial" w:cs="Arial"/>
          <w:sz w:val="24"/>
          <w:szCs w:val="24"/>
        </w:rPr>
        <w:t xml:space="preserve">You can subscribe to receive new information by using the Subscribe button on the </w:t>
      </w:r>
      <w:r w:rsidR="00D60518">
        <w:rPr>
          <w:rFonts w:ascii="Arial" w:hAnsi="Arial" w:cs="Arial"/>
          <w:sz w:val="24"/>
          <w:szCs w:val="24"/>
        </w:rPr>
        <w:t>H</w:t>
      </w:r>
      <w:r w:rsidRPr="003F1CF7">
        <w:rPr>
          <w:rFonts w:ascii="Arial" w:hAnsi="Arial" w:cs="Arial"/>
          <w:sz w:val="24"/>
          <w:szCs w:val="24"/>
        </w:rPr>
        <w:t xml:space="preserve">ome </w:t>
      </w:r>
      <w:r w:rsidR="00D60518">
        <w:rPr>
          <w:rFonts w:ascii="Arial" w:hAnsi="Arial" w:cs="Arial"/>
          <w:sz w:val="24"/>
          <w:szCs w:val="24"/>
        </w:rPr>
        <w:t>P</w:t>
      </w:r>
      <w:r w:rsidR="00D60518" w:rsidRPr="003F1CF7">
        <w:rPr>
          <w:rFonts w:ascii="Arial" w:hAnsi="Arial" w:cs="Arial"/>
          <w:sz w:val="24"/>
          <w:szCs w:val="24"/>
        </w:rPr>
        <w:t>age</w:t>
      </w:r>
      <w:r>
        <w:rPr>
          <w:rFonts w:cs="Arial"/>
          <w:sz w:val="24"/>
          <w:szCs w:val="24"/>
        </w:rPr>
        <w:t xml:space="preserve">. </w:t>
      </w:r>
    </w:p>
    <w:sectPr w:rsidR="003F1CF7" w:rsidSect="00EB2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6B435" w14:textId="77777777" w:rsidR="006A0D24" w:rsidRDefault="006A0D24">
      <w:pPr>
        <w:spacing w:after="0" w:line="240" w:lineRule="auto"/>
      </w:pPr>
      <w:r>
        <w:separator/>
      </w:r>
    </w:p>
  </w:endnote>
  <w:endnote w:type="continuationSeparator" w:id="0">
    <w:p w14:paraId="67F6295C" w14:textId="77777777" w:rsidR="006A0D24" w:rsidRDefault="006A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EE9C9" w14:textId="77777777" w:rsidR="00EB21E6" w:rsidRDefault="00EB2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54D90" w14:textId="77777777" w:rsidR="009D1783" w:rsidRDefault="009D1783" w:rsidP="009D1783">
    <w:pPr>
      <w:pStyle w:val="Footer"/>
      <w:rPr>
        <w:noProof/>
      </w:rPr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71"/>
      <w:gridCol w:w="975"/>
    </w:tblGrid>
    <w:tr w:rsidR="009D1783" w14:paraId="674040B1" w14:textId="77777777" w:rsidTr="009D1783">
      <w:tc>
        <w:tcPr>
          <w:tcW w:w="4500" w:type="pct"/>
          <w:tcBorders>
            <w:top w:val="single" w:sz="4" w:space="0" w:color="000000" w:themeColor="text1"/>
          </w:tcBorders>
        </w:tcPr>
        <w:p w14:paraId="16AD3BD9" w14:textId="77777777" w:rsidR="009D1783" w:rsidRPr="00A221B7" w:rsidRDefault="009D1783" w:rsidP="009D1783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A221B7">
            <w:rPr>
              <w:rFonts w:ascii="Arial" w:hAnsi="Arial" w:cs="Arial"/>
              <w:sz w:val="18"/>
              <w:szCs w:val="18"/>
            </w:rPr>
            <w:t xml:space="preserve">Data </w:t>
          </w:r>
          <w:r w:rsidR="00952229">
            <w:rPr>
              <w:rFonts w:ascii="Arial" w:hAnsi="Arial" w:cs="Arial"/>
              <w:sz w:val="18"/>
              <w:szCs w:val="18"/>
            </w:rPr>
            <w:t xml:space="preserve">Exchange </w:t>
          </w:r>
          <w:r>
            <w:rPr>
              <w:rFonts w:ascii="Arial" w:hAnsi="Arial" w:cs="Arial"/>
              <w:sz w:val="18"/>
              <w:szCs w:val="18"/>
            </w:rPr>
            <w:t>Benchmarking Methodology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1F4E79" w:themeFill="accent5" w:themeFillShade="80"/>
        </w:tcPr>
        <w:p w14:paraId="0EDD9F98" w14:textId="510A9F32" w:rsidR="009D1783" w:rsidRPr="00B97810" w:rsidRDefault="009D1783" w:rsidP="009D1783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</w:rPr>
          </w:pPr>
          <w:r w:rsidRPr="00B97810">
            <w:rPr>
              <w:rFonts w:ascii="Arial" w:hAnsi="Arial" w:cs="Arial"/>
              <w:b/>
              <w:color w:val="auto"/>
            </w:rPr>
            <w:fldChar w:fldCharType="begin"/>
          </w:r>
          <w:r w:rsidRPr="00B97810">
            <w:rPr>
              <w:rFonts w:ascii="Arial" w:hAnsi="Arial" w:cs="Arial"/>
              <w:b/>
            </w:rPr>
            <w:instrText xml:space="preserve"> PAGE   \* MERGEFORMAT </w:instrText>
          </w:r>
          <w:r w:rsidRPr="00B97810">
            <w:rPr>
              <w:rFonts w:ascii="Arial" w:hAnsi="Arial" w:cs="Arial"/>
              <w:b/>
              <w:color w:val="auto"/>
            </w:rPr>
            <w:fldChar w:fldCharType="separate"/>
          </w:r>
          <w:r w:rsidR="000656B3" w:rsidRPr="000656B3">
            <w:rPr>
              <w:rFonts w:ascii="Arial" w:hAnsi="Arial" w:cs="Arial"/>
              <w:b/>
              <w:noProof/>
              <w:color w:val="FFFFFF" w:themeColor="background1"/>
            </w:rPr>
            <w:t>1</w:t>
          </w:r>
          <w:r w:rsidRPr="00B97810">
            <w:rPr>
              <w:rFonts w:ascii="Arial" w:hAnsi="Arial" w:cs="Arial"/>
              <w:b/>
              <w:noProof/>
              <w:color w:val="FFFFFF" w:themeColor="background1"/>
            </w:rPr>
            <w:fldChar w:fldCharType="end"/>
          </w:r>
        </w:p>
      </w:tc>
    </w:tr>
  </w:tbl>
  <w:p w14:paraId="26FEA22A" w14:textId="77777777" w:rsidR="000526F4" w:rsidRDefault="000526F4" w:rsidP="009D1783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553AE" w14:textId="77777777" w:rsidR="00EB21E6" w:rsidRDefault="00EB2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B0ECD" w14:textId="77777777" w:rsidR="006A0D24" w:rsidRDefault="006A0D24">
      <w:pPr>
        <w:spacing w:after="0" w:line="240" w:lineRule="auto"/>
      </w:pPr>
      <w:r>
        <w:separator/>
      </w:r>
    </w:p>
  </w:footnote>
  <w:footnote w:type="continuationSeparator" w:id="0">
    <w:p w14:paraId="1987B8BC" w14:textId="77777777" w:rsidR="006A0D24" w:rsidRDefault="006A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522B9" w14:textId="77777777" w:rsidR="00EB21E6" w:rsidRDefault="00EB2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7A6BF" w14:textId="26893873" w:rsidR="00297E8C" w:rsidRDefault="00EB21E6" w:rsidP="00EB21E6">
    <w:pPr>
      <w:pStyle w:val="Header"/>
      <w:ind w:left="-1418"/>
    </w:pPr>
    <w:r>
      <w:rPr>
        <w:noProof/>
        <w:lang w:eastAsia="en-AU"/>
      </w:rPr>
      <w:drawing>
        <wp:inline distT="0" distB="0" distL="0" distR="0" wp14:anchorId="1116DCDC" wp14:editId="454D565D">
          <wp:extent cx="7823342" cy="1771650"/>
          <wp:effectExtent l="0" t="0" r="6350" b="0"/>
          <wp:docPr id="3" name="Picture 3" descr="Australian Government Logo and Data Exchange" title="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X Header - mid si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564" cy="1794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4A97B" w14:textId="7DDED55A" w:rsidR="00297E8C" w:rsidRDefault="00297E8C" w:rsidP="00EB21E6">
    <w:pPr>
      <w:pStyle w:val="Header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2CF6F" w14:textId="77777777" w:rsidR="00EB21E6" w:rsidRDefault="00EB2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1259"/>
    <w:multiLevelType w:val="hybridMultilevel"/>
    <w:tmpl w:val="127EE570"/>
    <w:lvl w:ilvl="0" w:tplc="9C001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0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6A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0D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A1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64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AE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42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61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D2235C"/>
    <w:multiLevelType w:val="multilevel"/>
    <w:tmpl w:val="97A2B4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172D55"/>
    <w:multiLevelType w:val="hybridMultilevel"/>
    <w:tmpl w:val="8D00A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A3D25"/>
    <w:multiLevelType w:val="hybridMultilevel"/>
    <w:tmpl w:val="E730C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768EB"/>
    <w:multiLevelType w:val="multilevel"/>
    <w:tmpl w:val="33CA5C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1807C6B"/>
    <w:multiLevelType w:val="multilevel"/>
    <w:tmpl w:val="AD9A7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F4"/>
    <w:rsid w:val="0001062A"/>
    <w:rsid w:val="00027026"/>
    <w:rsid w:val="000354A1"/>
    <w:rsid w:val="000526F4"/>
    <w:rsid w:val="000656B3"/>
    <w:rsid w:val="00070DC6"/>
    <w:rsid w:val="000E5D3E"/>
    <w:rsid w:val="000F5489"/>
    <w:rsid w:val="00115CE3"/>
    <w:rsid w:val="001416A3"/>
    <w:rsid w:val="00151BB1"/>
    <w:rsid w:val="001676F1"/>
    <w:rsid w:val="00167867"/>
    <w:rsid w:val="00192446"/>
    <w:rsid w:val="001C63E7"/>
    <w:rsid w:val="00251AC8"/>
    <w:rsid w:val="00271D21"/>
    <w:rsid w:val="00282FBF"/>
    <w:rsid w:val="00297E8C"/>
    <w:rsid w:val="00306CD8"/>
    <w:rsid w:val="003B0430"/>
    <w:rsid w:val="003F1CF7"/>
    <w:rsid w:val="00483610"/>
    <w:rsid w:val="00493947"/>
    <w:rsid w:val="004C7B0B"/>
    <w:rsid w:val="00526BFC"/>
    <w:rsid w:val="005A779E"/>
    <w:rsid w:val="005B6574"/>
    <w:rsid w:val="005D0C35"/>
    <w:rsid w:val="005D7429"/>
    <w:rsid w:val="0062249F"/>
    <w:rsid w:val="00677506"/>
    <w:rsid w:val="00693F1F"/>
    <w:rsid w:val="00694F81"/>
    <w:rsid w:val="006A0D24"/>
    <w:rsid w:val="006B3011"/>
    <w:rsid w:val="006F27C5"/>
    <w:rsid w:val="007B6BCC"/>
    <w:rsid w:val="007E76CE"/>
    <w:rsid w:val="008311DC"/>
    <w:rsid w:val="00840143"/>
    <w:rsid w:val="008654AD"/>
    <w:rsid w:val="008767FF"/>
    <w:rsid w:val="00894D58"/>
    <w:rsid w:val="008D1043"/>
    <w:rsid w:val="008F47E0"/>
    <w:rsid w:val="00907E13"/>
    <w:rsid w:val="009147C8"/>
    <w:rsid w:val="00952229"/>
    <w:rsid w:val="00962EB2"/>
    <w:rsid w:val="0098719E"/>
    <w:rsid w:val="009A06C6"/>
    <w:rsid w:val="009D1783"/>
    <w:rsid w:val="00A07561"/>
    <w:rsid w:val="00A51BBE"/>
    <w:rsid w:val="00A67A4F"/>
    <w:rsid w:val="00A84C50"/>
    <w:rsid w:val="00A92808"/>
    <w:rsid w:val="00AA67AC"/>
    <w:rsid w:val="00AB5E0C"/>
    <w:rsid w:val="00BB2D54"/>
    <w:rsid w:val="00BF376D"/>
    <w:rsid w:val="00C66BCD"/>
    <w:rsid w:val="00CB6F4A"/>
    <w:rsid w:val="00D60518"/>
    <w:rsid w:val="00D64DBE"/>
    <w:rsid w:val="00D95553"/>
    <w:rsid w:val="00DA2B23"/>
    <w:rsid w:val="00E15CFB"/>
    <w:rsid w:val="00E66F2B"/>
    <w:rsid w:val="00E72FD0"/>
    <w:rsid w:val="00EB21E6"/>
    <w:rsid w:val="00EC0E2C"/>
    <w:rsid w:val="00F9693D"/>
    <w:rsid w:val="00FE53EB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F88C6"/>
  <w15:docId w15:val="{EB510960-D0BA-4DAB-A644-57A00DB6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AU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8719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6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3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01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7E8C"/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9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8C"/>
  </w:style>
  <w:style w:type="paragraph" w:styleId="Footer">
    <w:name w:val="footer"/>
    <w:basedOn w:val="Normal"/>
    <w:link w:val="FooterChar"/>
    <w:uiPriority w:val="99"/>
    <w:unhideWhenUsed/>
    <w:rsid w:val="0029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8C"/>
  </w:style>
  <w:style w:type="paragraph" w:styleId="NormalWeb">
    <w:name w:val="Normal (Web)"/>
    <w:basedOn w:val="Normal"/>
    <w:uiPriority w:val="99"/>
    <w:semiHidden/>
    <w:unhideWhenUsed/>
    <w:rsid w:val="003F1C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F1C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73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32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00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7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x.dss.gov.a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4CCC-35FF-4B71-8C93-CFD88D38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Cameron</dc:creator>
  <cp:lastModifiedBy>FULLER, Gillian</cp:lastModifiedBy>
  <cp:revision>4</cp:revision>
  <cp:lastPrinted>2018-02-08T00:38:00Z</cp:lastPrinted>
  <dcterms:created xsi:type="dcterms:W3CDTF">2019-02-01T02:37:00Z</dcterms:created>
  <dcterms:modified xsi:type="dcterms:W3CDTF">2019-03-21T03:51:00Z</dcterms:modified>
</cp:coreProperties>
</file>